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B4FAB" w14:textId="77777777" w:rsidR="00FB40A3" w:rsidRPr="008059C3" w:rsidRDefault="00FB40A3" w:rsidP="00FB40A3">
      <w:pPr>
        <w:jc w:val="center"/>
        <w:rPr>
          <w:b/>
          <w:bCs/>
          <w:sz w:val="32"/>
          <w:szCs w:val="32"/>
        </w:rPr>
      </w:pPr>
      <w:r w:rsidRPr="008059C3">
        <w:rPr>
          <w:b/>
          <w:bCs/>
          <w:sz w:val="32"/>
          <w:szCs w:val="32"/>
        </w:rPr>
        <w:t>Summer School on Law and Logic</w:t>
      </w:r>
    </w:p>
    <w:p w14:paraId="005C17D6" w14:textId="77777777" w:rsidR="00FB40A3" w:rsidRPr="008059C3" w:rsidRDefault="00FB40A3" w:rsidP="00FB40A3">
      <w:pPr>
        <w:jc w:val="center"/>
        <w:rPr>
          <w:b/>
          <w:bCs/>
          <w:sz w:val="32"/>
          <w:szCs w:val="32"/>
        </w:rPr>
      </w:pPr>
      <w:r w:rsidRPr="008059C3">
        <w:rPr>
          <w:b/>
          <w:bCs/>
          <w:sz w:val="32"/>
          <w:szCs w:val="32"/>
        </w:rPr>
        <w:t> European University Institute &amp; Harvard Law School</w:t>
      </w:r>
    </w:p>
    <w:p w14:paraId="680B0F82" w14:textId="77777777" w:rsidR="00FB40A3" w:rsidRPr="008059C3" w:rsidRDefault="00FB40A3" w:rsidP="00FB40A3">
      <w:pPr>
        <w:jc w:val="center"/>
        <w:rPr>
          <w:b/>
          <w:bCs/>
          <w:sz w:val="32"/>
          <w:szCs w:val="32"/>
        </w:rPr>
      </w:pPr>
      <w:r w:rsidRPr="008059C3">
        <w:rPr>
          <w:b/>
          <w:bCs/>
          <w:sz w:val="32"/>
          <w:szCs w:val="32"/>
        </w:rPr>
        <w:t>Florence, Italy</w:t>
      </w:r>
    </w:p>
    <w:p w14:paraId="0B5ED2DC" w14:textId="77777777" w:rsidR="00FB40A3" w:rsidRPr="008059C3" w:rsidRDefault="00FB40A3" w:rsidP="00FB40A3">
      <w:pPr>
        <w:jc w:val="center"/>
        <w:rPr>
          <w:b/>
          <w:bCs/>
          <w:sz w:val="32"/>
          <w:szCs w:val="32"/>
        </w:rPr>
      </w:pPr>
      <w:r w:rsidRPr="008059C3">
        <w:rPr>
          <w:b/>
          <w:bCs/>
          <w:sz w:val="32"/>
          <w:szCs w:val="32"/>
        </w:rPr>
        <w:t>1</w:t>
      </w:r>
      <w:r>
        <w:rPr>
          <w:b/>
          <w:bCs/>
          <w:sz w:val="32"/>
          <w:szCs w:val="32"/>
        </w:rPr>
        <w:t>0</w:t>
      </w:r>
      <w:r w:rsidRPr="008059C3">
        <w:rPr>
          <w:b/>
          <w:bCs/>
          <w:sz w:val="32"/>
          <w:szCs w:val="32"/>
        </w:rPr>
        <w:t xml:space="preserve"> July 201</w:t>
      </w:r>
      <w:r>
        <w:rPr>
          <w:b/>
          <w:bCs/>
          <w:sz w:val="32"/>
          <w:szCs w:val="32"/>
        </w:rPr>
        <w:t>8</w:t>
      </w:r>
    </w:p>
    <w:p w14:paraId="4FCC019C" w14:textId="77777777" w:rsidR="00FB40A3" w:rsidRPr="008059C3" w:rsidRDefault="00FB40A3" w:rsidP="00FB40A3">
      <w:pPr>
        <w:jc w:val="center"/>
        <w:rPr>
          <w:b/>
          <w:bCs/>
          <w:sz w:val="32"/>
          <w:szCs w:val="32"/>
        </w:rPr>
      </w:pPr>
    </w:p>
    <w:p w14:paraId="6066A6A5" w14:textId="77777777" w:rsidR="00FB40A3" w:rsidRPr="008059C3" w:rsidRDefault="00FB40A3" w:rsidP="00FB40A3">
      <w:pPr>
        <w:jc w:val="center"/>
        <w:rPr>
          <w:b/>
          <w:sz w:val="32"/>
          <w:szCs w:val="32"/>
        </w:rPr>
      </w:pPr>
      <w:r>
        <w:rPr>
          <w:b/>
          <w:bCs/>
          <w:sz w:val="32"/>
          <w:szCs w:val="32"/>
        </w:rPr>
        <w:t xml:space="preserve">Preparation </w:t>
      </w:r>
      <w:r w:rsidRPr="008059C3">
        <w:rPr>
          <w:b/>
          <w:bCs/>
          <w:sz w:val="32"/>
          <w:szCs w:val="32"/>
        </w:rPr>
        <w:t xml:space="preserve">for </w:t>
      </w:r>
      <w:r w:rsidRPr="008059C3">
        <w:rPr>
          <w:b/>
          <w:sz w:val="32"/>
          <w:szCs w:val="32"/>
        </w:rPr>
        <w:t xml:space="preserve">Session 2.1.2 </w:t>
      </w:r>
    </w:p>
    <w:p w14:paraId="7CF621DA" w14:textId="6AC8E2ED" w:rsidR="00BB00C6" w:rsidRDefault="00BB00C6" w:rsidP="00BB00C6">
      <w:pPr>
        <w:jc w:val="center"/>
        <w:rPr>
          <w:rFonts w:eastAsiaTheme="majorEastAsia"/>
        </w:rPr>
      </w:pPr>
    </w:p>
    <w:p w14:paraId="097D94FF" w14:textId="3734D69A" w:rsidR="00BB00C6" w:rsidRDefault="00BB00C6" w:rsidP="00BB00C6">
      <w:pPr>
        <w:jc w:val="center"/>
        <w:rPr>
          <w:rFonts w:eastAsiaTheme="majorEastAsia"/>
          <w:b/>
          <w:bCs/>
        </w:rPr>
      </w:pPr>
      <w:r>
        <w:rPr>
          <w:rFonts w:eastAsiaTheme="majorEastAsia"/>
          <w:b/>
          <w:bCs/>
        </w:rPr>
        <w:t xml:space="preserve">Interaction of propositional deductive logic and </w:t>
      </w:r>
      <w:r w:rsidR="00AA3BF5">
        <w:rPr>
          <w:rFonts w:eastAsiaTheme="majorEastAsia"/>
          <w:b/>
          <w:bCs/>
        </w:rPr>
        <w:t>legal abduction</w:t>
      </w:r>
      <w:r>
        <w:rPr>
          <w:rFonts w:eastAsiaTheme="majorEastAsia"/>
          <w:b/>
          <w:bCs/>
        </w:rPr>
        <w:t xml:space="preserve">: </w:t>
      </w:r>
    </w:p>
    <w:p w14:paraId="31C9A439" w14:textId="77777777" w:rsidR="00BB00C6" w:rsidRPr="00BB00C6" w:rsidRDefault="00BB00C6" w:rsidP="00BB00C6">
      <w:pPr>
        <w:jc w:val="center"/>
      </w:pPr>
      <w:r>
        <w:rPr>
          <w:rFonts w:eastAsiaTheme="majorEastAsia"/>
          <w:b/>
          <w:bCs/>
        </w:rPr>
        <w:t xml:space="preserve">example of close Logocratic analysis of </w:t>
      </w:r>
      <w:r w:rsidRPr="00BB00C6">
        <w:rPr>
          <w:rFonts w:eastAsiaTheme="majorEastAsia"/>
          <w:b/>
          <w:bCs/>
          <w:i/>
          <w:iCs/>
        </w:rPr>
        <w:t>Wright v. Newman</w:t>
      </w:r>
    </w:p>
    <w:p w14:paraId="1FADF148" w14:textId="77777777" w:rsidR="00E15242" w:rsidRDefault="00E15242" w:rsidP="00BB00C6">
      <w:pPr>
        <w:pStyle w:val="Heading1"/>
      </w:pPr>
      <w:r>
        <w:t xml:space="preserve">Logocratic Analysis and </w:t>
      </w:r>
      <w:r w:rsidRPr="00035A7E">
        <w:t>Jurisprudence</w:t>
      </w:r>
      <w:r>
        <w:t xml:space="preserve"> of Logical Form</w:t>
      </w:r>
    </w:p>
    <w:p w14:paraId="6F0E1113" w14:textId="77777777" w:rsidR="00035A7E" w:rsidRPr="00F779F4" w:rsidRDefault="00035A7E" w:rsidP="00F779F4">
      <w:pPr>
        <w:pStyle w:val="Heading2"/>
      </w:pPr>
      <w:r w:rsidRPr="00F779F4">
        <w:t>Note: tasks for a jurisprudence of logical form:  giving a fair formal representation of legal rules (rule enthymemes) and legal arguments (argument enthymemes)</w:t>
      </w:r>
    </w:p>
    <w:p w14:paraId="09B1EF68" w14:textId="77777777" w:rsidR="00035A7E" w:rsidRDefault="00035A7E" w:rsidP="00F779F4">
      <w:pPr>
        <w:pStyle w:val="Heading2"/>
      </w:pPr>
      <w:r>
        <w:t>Central "rule enthymeme" (</w:t>
      </w:r>
      <w:r w:rsidRPr="00035A7E">
        <w:t>rule</w:t>
      </w:r>
      <w:r>
        <w:t xml:space="preserve"> whose logical form is not explicit in its original mode of presentation, </w:t>
      </w:r>
      <w:proofErr w:type="gramStart"/>
      <w:r>
        <w:t>e.g.,,</w:t>
      </w:r>
      <w:proofErr w:type="gramEnd"/>
      <w:r>
        <w:t xml:space="preserve"> in the statute) for promissory estoppel in </w:t>
      </w:r>
      <w:r w:rsidRPr="007D4487">
        <w:t>Wright</w:t>
      </w:r>
      <w:r>
        <w:t xml:space="preserve"> (Georgia statute)</w:t>
      </w:r>
    </w:p>
    <w:p w14:paraId="0A3A12AB" w14:textId="77777777" w:rsidR="00035A7E" w:rsidRDefault="00035A7E" w:rsidP="00035A7E"/>
    <w:p w14:paraId="70EAF233" w14:textId="77777777" w:rsidR="00035A7E" w:rsidRDefault="00035A7E" w:rsidP="00035A7E">
      <w:pPr>
        <w:ind w:left="720"/>
      </w:pPr>
      <w:r w:rsidRPr="00107C3B">
        <w:t>[a]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requires.</w:t>
      </w:r>
    </w:p>
    <w:p w14:paraId="005A84B2" w14:textId="77777777" w:rsidR="00035A7E" w:rsidRPr="00BB00C6" w:rsidRDefault="00035A7E" w:rsidP="00035A7E">
      <w:r w:rsidRPr="00BB00C6">
        <w:t>^</w:t>
      </w:r>
    </w:p>
    <w:p w14:paraId="2BA13F03" w14:textId="77777777" w:rsidR="00035A7E" w:rsidRPr="00BB00C6" w:rsidRDefault="00035A7E" w:rsidP="00F779F4">
      <w:pPr>
        <w:pStyle w:val="Heading2"/>
      </w:pPr>
      <w:r w:rsidRPr="00BB00C6">
        <w:t>"Rulified" rule (enthymeme whose logical form is made explicit)</w:t>
      </w:r>
    </w:p>
    <w:p w14:paraId="63FB1F38" w14:textId="77777777" w:rsidR="00035A7E" w:rsidRPr="00BB00C6" w:rsidRDefault="00035A7E" w:rsidP="00035A7E"/>
    <w:p w14:paraId="33E99A5C" w14:textId="77777777" w:rsidR="00035A7E" w:rsidRPr="00BB00C6" w:rsidRDefault="00035A7E" w:rsidP="00035A7E">
      <w:r w:rsidRPr="00BB00C6">
        <w:t>P:</w:t>
      </w:r>
      <w:r w:rsidRPr="00BB00C6">
        <w:tab/>
        <w:t>There is a promise.</w:t>
      </w:r>
    </w:p>
    <w:p w14:paraId="23D38E4B" w14:textId="77777777" w:rsidR="00035A7E" w:rsidRPr="00BB00C6" w:rsidRDefault="00035A7E" w:rsidP="00035A7E"/>
    <w:p w14:paraId="0606A90B" w14:textId="77777777" w:rsidR="00035A7E" w:rsidRPr="00BB00C6" w:rsidRDefault="00035A7E" w:rsidP="00035A7E">
      <w:r w:rsidRPr="00BB00C6">
        <w:t>R:</w:t>
      </w:r>
      <w:r w:rsidRPr="00BB00C6">
        <w:tab/>
        <w:t xml:space="preserve">There is a promise which the promisor should reasonably </w:t>
      </w:r>
    </w:p>
    <w:p w14:paraId="488FBDA6" w14:textId="77777777" w:rsidR="00035A7E" w:rsidRPr="00BB00C6" w:rsidRDefault="00035A7E" w:rsidP="00035A7E">
      <w:r w:rsidRPr="00BB00C6">
        <w:tab/>
        <w:t xml:space="preserve">expect to induce action or forbearance on the part of the </w:t>
      </w:r>
    </w:p>
    <w:p w14:paraId="4D6B5B0D" w14:textId="77777777" w:rsidR="00035A7E" w:rsidRPr="00BB00C6" w:rsidRDefault="00035A7E" w:rsidP="00035A7E">
      <w:r w:rsidRPr="00BB00C6">
        <w:tab/>
        <w:t>promisee or a third person</w:t>
      </w:r>
    </w:p>
    <w:p w14:paraId="2A90E215" w14:textId="77777777" w:rsidR="00035A7E" w:rsidRPr="00BB00C6" w:rsidRDefault="00035A7E" w:rsidP="00035A7E"/>
    <w:p w14:paraId="133E09BC" w14:textId="77777777" w:rsidR="00035A7E" w:rsidRPr="00BB00C6" w:rsidRDefault="00035A7E" w:rsidP="00035A7E">
      <w:r w:rsidRPr="00BB00C6">
        <w:t>D:</w:t>
      </w:r>
      <w:r w:rsidRPr="00BB00C6">
        <w:tab/>
        <w:t xml:space="preserve">There is a promise which does induce such action or </w:t>
      </w:r>
    </w:p>
    <w:p w14:paraId="4E083D6C" w14:textId="77777777" w:rsidR="00035A7E" w:rsidRPr="00BB00C6" w:rsidRDefault="00035A7E" w:rsidP="00035A7E">
      <w:r w:rsidRPr="00BB00C6">
        <w:tab/>
        <w:t xml:space="preserve">forbearance action or forbearance on the part of the </w:t>
      </w:r>
    </w:p>
    <w:p w14:paraId="2D29470E" w14:textId="77777777" w:rsidR="00035A7E" w:rsidRPr="00BB00C6" w:rsidRDefault="00035A7E" w:rsidP="00035A7E">
      <w:r w:rsidRPr="00BB00C6">
        <w:tab/>
        <w:t>promisee or a third person</w:t>
      </w:r>
    </w:p>
    <w:p w14:paraId="2397B05D" w14:textId="77777777" w:rsidR="00035A7E" w:rsidRPr="00BB00C6" w:rsidRDefault="00035A7E" w:rsidP="00035A7E"/>
    <w:p w14:paraId="0D55B62E" w14:textId="77777777" w:rsidR="00035A7E" w:rsidRPr="00BB00C6" w:rsidRDefault="00035A7E" w:rsidP="00035A7E">
      <w:r w:rsidRPr="00BB00C6">
        <w:t>I:</w:t>
      </w:r>
      <w:r w:rsidRPr="00BB00C6">
        <w:tab/>
        <w:t xml:space="preserve">Injustice can be avoided only by enforcement of the </w:t>
      </w:r>
    </w:p>
    <w:p w14:paraId="2C3AC6BF" w14:textId="77777777" w:rsidR="00035A7E" w:rsidRPr="00BB00C6" w:rsidRDefault="00035A7E" w:rsidP="00035A7E">
      <w:r w:rsidRPr="00BB00C6">
        <w:tab/>
        <w:t>promise.</w:t>
      </w:r>
    </w:p>
    <w:p w14:paraId="65E76487" w14:textId="77777777" w:rsidR="00035A7E" w:rsidRPr="00BB00C6" w:rsidRDefault="00035A7E" w:rsidP="00035A7E"/>
    <w:p w14:paraId="79087265" w14:textId="77777777" w:rsidR="00035A7E" w:rsidRPr="00BB00C6" w:rsidRDefault="00035A7E" w:rsidP="00035A7E">
      <w:r w:rsidRPr="00BB00C6">
        <w:lastRenderedPageBreak/>
        <w:t>K:</w:t>
      </w:r>
      <w:r w:rsidRPr="00BB00C6">
        <w:tab/>
        <w:t xml:space="preserve">There is contractual obligation [i.e., there is an </w:t>
      </w:r>
    </w:p>
    <w:p w14:paraId="54198759" w14:textId="77777777" w:rsidR="00035A7E" w:rsidRPr="00BB00C6" w:rsidRDefault="00035A7E" w:rsidP="00035A7E">
      <w:r w:rsidRPr="00BB00C6">
        <w:tab/>
      </w:r>
      <w:proofErr w:type="gramStart"/>
      <w:r w:rsidRPr="00BB00C6">
        <w:t>enforceable promise,</w:t>
      </w:r>
      <w:proofErr w:type="gramEnd"/>
      <w:r w:rsidRPr="00BB00C6">
        <w:t xml:space="preserve"> see Restatement 2nd § 1]</w:t>
      </w:r>
    </w:p>
    <w:p w14:paraId="726A4881" w14:textId="77777777" w:rsidR="00035A7E" w:rsidRPr="00BB00C6" w:rsidRDefault="00035A7E" w:rsidP="00035A7E">
      <w:r w:rsidRPr="00BB00C6">
        <w:t>^</w:t>
      </w:r>
    </w:p>
    <w:p w14:paraId="726C81A2" w14:textId="77777777" w:rsidR="00035A7E" w:rsidRPr="00BB00C6" w:rsidRDefault="00035A7E" w:rsidP="00035A7E">
      <w:r w:rsidRPr="00BB00C6">
        <w:t>Rulified rule:</w:t>
      </w:r>
    </w:p>
    <w:p w14:paraId="47B61EF5" w14:textId="77777777" w:rsidR="00035A7E" w:rsidRPr="00BB00C6" w:rsidRDefault="00035A7E" w:rsidP="00035A7E">
      <w:r w:rsidRPr="00BB00C6">
        <w:t>^</w:t>
      </w:r>
    </w:p>
    <w:p w14:paraId="30CE87A1" w14:textId="77777777" w:rsidR="00035A7E" w:rsidRPr="00BB00C6" w:rsidRDefault="00035A7E" w:rsidP="000E2132">
      <w:pPr>
        <w:jc w:val="center"/>
      </w:pPr>
      <w:r w:rsidRPr="00BB00C6">
        <w:t>If (P and R and D and I) then K</w:t>
      </w:r>
    </w:p>
    <w:p w14:paraId="7E35F12B" w14:textId="77777777" w:rsidR="00035A7E" w:rsidRPr="00BB00C6" w:rsidRDefault="00035A7E" w:rsidP="00035A7E">
      <w:r w:rsidRPr="00BB00C6">
        <w:t>^</w:t>
      </w:r>
    </w:p>
    <w:p w14:paraId="7671FBF9" w14:textId="77777777" w:rsidR="000E2132" w:rsidRDefault="00BB00C6" w:rsidP="00BB00C6">
      <w:pPr>
        <w:pStyle w:val="Heading2"/>
      </w:pPr>
      <w:r>
        <w:t xml:space="preserve">using </w:t>
      </w:r>
      <w:r w:rsidR="000E2132">
        <w:t>indent-right method of rulification</w:t>
      </w:r>
    </w:p>
    <w:p w14:paraId="0DDC7B51" w14:textId="77777777" w:rsidR="000E2132" w:rsidRPr="00ED2C5B" w:rsidRDefault="000E2132" w:rsidP="00BB00C6">
      <w:pPr>
        <w:pStyle w:val="Heading2"/>
      </w:pPr>
      <w:bookmarkStart w:id="0" w:name="glossary"/>
      <w:r w:rsidRPr="00ED2C5B">
        <w:t>Exercise: Identify all relations of domination and subordination in Restatement (Second) of Contracts § 90(1)</w:t>
      </w:r>
      <w:r w:rsidR="00BB00C6">
        <w:t xml:space="preserve">—same as statutory rule in </w:t>
      </w:r>
      <w:r w:rsidR="00BB00C6" w:rsidRPr="00BB00C6">
        <w:rPr>
          <w:i w:val="0"/>
          <w:iCs w:val="0"/>
        </w:rPr>
        <w:t>Wright</w:t>
      </w:r>
    </w:p>
    <w:p w14:paraId="5E738FA4" w14:textId="77777777" w:rsidR="000E2132" w:rsidRDefault="000E2132" w:rsidP="00BB00C6">
      <w:pPr>
        <w:pStyle w:val="Heading3"/>
      </w:pPr>
      <w:r w:rsidRPr="00ED2C5B">
        <w:t>Rule enthymeme, Restatemen</w:t>
      </w:r>
      <w:r>
        <w:t>t (Second) of Contracts § 90(1)</w:t>
      </w:r>
    </w:p>
    <w:p w14:paraId="125A6FC8" w14:textId="77777777" w:rsidR="000E2132" w:rsidRPr="00ED2C5B" w:rsidRDefault="000E2132" w:rsidP="000E2132"/>
    <w:p w14:paraId="327F0008" w14:textId="77777777" w:rsidR="000E2132" w:rsidRDefault="000E2132" w:rsidP="000E2132">
      <w:r w:rsidRPr="00ED2C5B">
        <w:t>(1) 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requires.</w:t>
      </w:r>
    </w:p>
    <w:p w14:paraId="4D310B79" w14:textId="77777777" w:rsidR="000E2132" w:rsidRDefault="000E2132" w:rsidP="000E2132"/>
    <w:p w14:paraId="6D91EF41" w14:textId="77777777" w:rsidR="000E2132" w:rsidRPr="00ED2C5B" w:rsidRDefault="000E2132" w:rsidP="000E2132"/>
    <w:p w14:paraId="129489B3" w14:textId="77777777" w:rsidR="000E2132" w:rsidRPr="00ED2C5B" w:rsidRDefault="000E2132" w:rsidP="000E2132">
      <w:r w:rsidRPr="00ED2C5B">
        <w:t>^</w:t>
      </w:r>
    </w:p>
    <w:p w14:paraId="67735FE2" w14:textId="77777777" w:rsidR="000E2132" w:rsidRPr="00ED2C5B" w:rsidRDefault="000E2132" w:rsidP="00BB00C6">
      <w:pPr>
        <w:pStyle w:val="Heading3"/>
      </w:pPr>
      <w:r w:rsidRPr="00BB00C6">
        <w:t>Propositional</w:t>
      </w:r>
      <w:r w:rsidRPr="00ED2C5B">
        <w:t xml:space="preserve"> elements of this rule enthymeme</w:t>
      </w:r>
    </w:p>
    <w:p w14:paraId="5032425C" w14:textId="77777777" w:rsidR="000E2132" w:rsidRPr="00BB00C6" w:rsidRDefault="00BB00C6" w:rsidP="00BB00C6">
      <w:r>
        <w:t xml:space="preserve">[P] </w:t>
      </w:r>
      <w:r>
        <w:tab/>
      </w:r>
      <w:r w:rsidR="000E2132" w:rsidRPr="00BB00C6">
        <w:t>There is a promise.</w:t>
      </w:r>
    </w:p>
    <w:p w14:paraId="3328946C" w14:textId="77777777" w:rsidR="000E2132" w:rsidRPr="00BB00C6" w:rsidRDefault="00BB00C6" w:rsidP="00BB00C6">
      <w:r>
        <w:t>[R]</w:t>
      </w:r>
      <w:r>
        <w:tab/>
      </w:r>
      <w:r w:rsidR="000E2132" w:rsidRPr="00BB00C6">
        <w:t xml:space="preserve">There is a promise which the promisor should reasonably expect to induce action or forbearance </w:t>
      </w:r>
      <w:r>
        <w:tab/>
      </w:r>
      <w:r w:rsidR="000E2132" w:rsidRPr="00BB00C6">
        <w:t>on the part of the promisee or a third person.</w:t>
      </w:r>
    </w:p>
    <w:p w14:paraId="36D2B446" w14:textId="77777777" w:rsidR="000E2132" w:rsidRPr="00BB00C6" w:rsidRDefault="00BB00C6" w:rsidP="00BB00C6">
      <w:r>
        <w:t>[D]</w:t>
      </w:r>
      <w:r>
        <w:tab/>
      </w:r>
      <w:r w:rsidR="000E2132" w:rsidRPr="00BB00C6">
        <w:t xml:space="preserve">There is a promise which does induce action or forbearance on the part of the promisee or a third </w:t>
      </w:r>
      <w:r>
        <w:tab/>
      </w:r>
      <w:r w:rsidR="000E2132" w:rsidRPr="00BB00C6">
        <w:t>person.</w:t>
      </w:r>
    </w:p>
    <w:p w14:paraId="4C5AAE61" w14:textId="77777777" w:rsidR="000E2132" w:rsidRPr="00BB00C6" w:rsidRDefault="00BB00C6" w:rsidP="00BB00C6">
      <w:r>
        <w:t xml:space="preserve">[I] </w:t>
      </w:r>
      <w:r>
        <w:tab/>
      </w:r>
      <w:r w:rsidR="000E2132" w:rsidRPr="00BB00C6">
        <w:t>Injustice can be avoided only by enforcement of the promise.</w:t>
      </w:r>
    </w:p>
    <w:p w14:paraId="4DE0ADFB" w14:textId="77777777" w:rsidR="000E2132" w:rsidRDefault="00BB00C6" w:rsidP="00BB00C6">
      <w:r>
        <w:t>[K]</w:t>
      </w:r>
      <w:r>
        <w:tab/>
      </w:r>
      <w:r w:rsidR="000E2132" w:rsidRPr="00BB00C6">
        <w:t>The promise is binding.</w:t>
      </w:r>
    </w:p>
    <w:p w14:paraId="3F7F61DB" w14:textId="77777777" w:rsidR="00D35771" w:rsidRDefault="00D35771" w:rsidP="00BB00C6"/>
    <w:p w14:paraId="14D9E913" w14:textId="77777777" w:rsidR="00D35771" w:rsidRPr="00BB00C6" w:rsidRDefault="00D35771" w:rsidP="00D35771">
      <w:pPr>
        <w:pStyle w:val="Heading3"/>
      </w:pPr>
      <w:r>
        <w:t>Representation using symbolic method (see Govier Chapter 8 and other posted materials)</w:t>
      </w:r>
    </w:p>
    <w:p w14:paraId="06CF4191" w14:textId="77777777" w:rsidR="00D35771" w:rsidRDefault="00D35771" w:rsidP="00D35771">
      <w:pPr>
        <w:pStyle w:val="Heading2"/>
      </w:pPr>
      <w:r>
        <w:t xml:space="preserve">Posted exercise: </w:t>
      </w:r>
      <w:r w:rsidRPr="00ED2C5B">
        <w:t xml:space="preserve">How </w:t>
      </w:r>
      <w:r>
        <w:t xml:space="preserve">can </w:t>
      </w:r>
      <w:r w:rsidRPr="00ED2C5B">
        <w:t>we use the indent-right method of rulification to represent the enthymeme in § 90(1)?</w:t>
      </w:r>
    </w:p>
    <w:p w14:paraId="58130BF9" w14:textId="77777777" w:rsidR="000E2132" w:rsidRPr="00D35771" w:rsidRDefault="000E2132" w:rsidP="00D35771">
      <w:pPr>
        <w:pStyle w:val="Heading4"/>
      </w:pPr>
      <w:r w:rsidRPr="00D35771">
        <w:t>What is the dominant operator?</w:t>
      </w:r>
    </w:p>
    <w:p w14:paraId="6DBF476A" w14:textId="77777777" w:rsidR="000E2132" w:rsidRPr="00D35771" w:rsidRDefault="000E2132" w:rsidP="00D35771">
      <w:pPr>
        <w:pStyle w:val="Heading4"/>
      </w:pPr>
      <w:r w:rsidRPr="00D35771">
        <w:t>What operators are directly subordinate to it?</w:t>
      </w:r>
    </w:p>
    <w:p w14:paraId="5E23A64A" w14:textId="77777777" w:rsidR="000E2132" w:rsidRPr="00D35771" w:rsidRDefault="000E2132" w:rsidP="00D35771">
      <w:pPr>
        <w:pStyle w:val="Heading4"/>
      </w:pPr>
      <w:r w:rsidRPr="00D35771">
        <w:t>What operators are indirectly subordinate to it?</w:t>
      </w:r>
    </w:p>
    <w:bookmarkEnd w:id="0"/>
    <w:p w14:paraId="18AF5D98" w14:textId="77777777" w:rsidR="000E2132" w:rsidRPr="00D35771" w:rsidRDefault="000E2132" w:rsidP="00D35771">
      <w:pPr>
        <w:pStyle w:val="Heading4"/>
      </w:pPr>
      <w:r w:rsidRPr="00D35771">
        <w:t>The rules for using the indent-right method of rulification are simple:</w:t>
      </w:r>
    </w:p>
    <w:p w14:paraId="1AA65B99" w14:textId="77777777" w:rsidR="000E2132" w:rsidRPr="00ED2C5B" w:rsidRDefault="000E2132" w:rsidP="000E2132"/>
    <w:p w14:paraId="7B14CC14" w14:textId="77777777" w:rsidR="000E2132" w:rsidRPr="00ED2C5B" w:rsidRDefault="000E2132" w:rsidP="000E2132">
      <w:pPr>
        <w:ind w:left="720"/>
      </w:pPr>
      <w:r w:rsidRPr="00ED2C5B">
        <w:t>(</w:t>
      </w:r>
      <w:proofErr w:type="spellStart"/>
      <w:r w:rsidRPr="00ED2C5B">
        <w:t>i</w:t>
      </w:r>
      <w:proofErr w:type="spellEnd"/>
      <w:r w:rsidRPr="00ED2C5B">
        <w:t>) The dominant operator stands furthest to the left.</w:t>
      </w:r>
    </w:p>
    <w:p w14:paraId="67E610C0" w14:textId="77777777" w:rsidR="000E2132" w:rsidRPr="00ED2C5B" w:rsidRDefault="000E2132" w:rsidP="000E2132">
      <w:pPr>
        <w:ind w:left="720"/>
      </w:pPr>
    </w:p>
    <w:p w14:paraId="001D8EC3" w14:textId="77777777" w:rsidR="000E2132" w:rsidRPr="00ED2C5B" w:rsidRDefault="000E2132" w:rsidP="000E2132">
      <w:pPr>
        <w:ind w:left="720"/>
      </w:pPr>
      <w:r w:rsidRPr="00ED2C5B">
        <w:t>(ii) Any operator that the dominant operator dominates is indented once to the right (hence, "indent-right" method)</w:t>
      </w:r>
    </w:p>
    <w:p w14:paraId="08FA8FBB" w14:textId="77777777" w:rsidR="000E2132" w:rsidRPr="00ED2C5B" w:rsidRDefault="000E2132" w:rsidP="000E2132">
      <w:pPr>
        <w:ind w:left="720"/>
      </w:pPr>
    </w:p>
    <w:p w14:paraId="0F68B7F4" w14:textId="77777777" w:rsidR="000E2132" w:rsidRPr="00ED2C5B" w:rsidRDefault="000E2132" w:rsidP="000E2132">
      <w:pPr>
        <w:ind w:left="720"/>
      </w:pPr>
      <w:r w:rsidRPr="00ED2C5B">
        <w:t>(iii) More generally, any operator that dominates another operator stands to the left-indent of that operator.</w:t>
      </w:r>
    </w:p>
    <w:p w14:paraId="3F65C447" w14:textId="77777777" w:rsidR="00D35771" w:rsidRDefault="00D35771" w:rsidP="00D35771">
      <w:pPr>
        <w:pStyle w:val="Heading3"/>
      </w:pPr>
      <w:r>
        <w:t xml:space="preserve">Rule 1: </w:t>
      </w:r>
    </w:p>
    <w:p w14:paraId="3E27AEAC" w14:textId="77777777" w:rsidR="00BB00C6" w:rsidRDefault="00BB00C6" w:rsidP="00D35771">
      <w:pPr>
        <w:ind w:left="720"/>
      </w:pPr>
      <w:r>
        <w:t>If</w:t>
      </w:r>
    </w:p>
    <w:p w14:paraId="1364DA99" w14:textId="77777777" w:rsidR="00BB00C6" w:rsidRDefault="00BB00C6" w:rsidP="00D35771">
      <w:pPr>
        <w:ind w:left="1440"/>
      </w:pPr>
      <w:r>
        <w:t>there is a</w:t>
      </w:r>
      <w:r w:rsidRPr="00ED2C5B">
        <w:t xml:space="preserve"> promise </w:t>
      </w:r>
    </w:p>
    <w:p w14:paraId="1F22D874" w14:textId="77777777" w:rsidR="00BB00C6" w:rsidRDefault="00BB00C6" w:rsidP="00D35771">
      <w:pPr>
        <w:ind w:left="1440"/>
      </w:pPr>
    </w:p>
    <w:p w14:paraId="16D6AED0" w14:textId="77777777" w:rsidR="00BB00C6" w:rsidRDefault="00BB00C6" w:rsidP="00D35771">
      <w:pPr>
        <w:ind w:left="1440"/>
      </w:pPr>
      <w:r>
        <w:t xml:space="preserve">and </w:t>
      </w:r>
    </w:p>
    <w:p w14:paraId="44FD1EC7" w14:textId="77777777" w:rsidR="00BB00C6" w:rsidRDefault="00BB00C6" w:rsidP="00D35771">
      <w:pPr>
        <w:ind w:left="1440"/>
      </w:pPr>
    </w:p>
    <w:p w14:paraId="3D92A17E" w14:textId="77777777" w:rsidR="00BB00C6" w:rsidRDefault="00BB00C6" w:rsidP="00D35771">
      <w:pPr>
        <w:ind w:left="1440"/>
      </w:pPr>
      <w:r>
        <w:t xml:space="preserve">there is a promise that </w:t>
      </w:r>
      <w:r w:rsidRPr="00ED2C5B">
        <w:t xml:space="preserve">the promisor should reasonably expect to induce action or forbearance on the part of the promisee or a third person </w:t>
      </w:r>
    </w:p>
    <w:p w14:paraId="3D4A3983" w14:textId="77777777" w:rsidR="00BB00C6" w:rsidRDefault="00BB00C6" w:rsidP="00D35771">
      <w:pPr>
        <w:ind w:left="1440"/>
      </w:pPr>
    </w:p>
    <w:p w14:paraId="638D2F27" w14:textId="77777777" w:rsidR="00BB00C6" w:rsidRDefault="00BB00C6" w:rsidP="00D35771">
      <w:pPr>
        <w:ind w:left="1440"/>
      </w:pPr>
      <w:r w:rsidRPr="00ED2C5B">
        <w:t xml:space="preserve">and </w:t>
      </w:r>
    </w:p>
    <w:p w14:paraId="3A56DFD5" w14:textId="77777777" w:rsidR="00BB00C6" w:rsidRDefault="00BB00C6" w:rsidP="00D35771">
      <w:pPr>
        <w:ind w:left="1440"/>
      </w:pPr>
    </w:p>
    <w:p w14:paraId="31D5C11A" w14:textId="77777777" w:rsidR="00BB00C6" w:rsidRDefault="00BB00C6" w:rsidP="00D35771">
      <w:pPr>
        <w:ind w:left="1440"/>
      </w:pPr>
      <w:r>
        <w:t xml:space="preserve">there is a promise that </w:t>
      </w:r>
      <w:r w:rsidRPr="00ED2C5B">
        <w:t>does induce action or forbearance on the part of the promisee or a third person</w:t>
      </w:r>
    </w:p>
    <w:p w14:paraId="705DCA4D" w14:textId="77777777" w:rsidR="00D35771" w:rsidRDefault="00D35771" w:rsidP="00D35771">
      <w:pPr>
        <w:ind w:left="1440"/>
      </w:pPr>
    </w:p>
    <w:p w14:paraId="5926CD3A" w14:textId="77777777" w:rsidR="00D35771" w:rsidRDefault="00D35771" w:rsidP="00D35771">
      <w:pPr>
        <w:ind w:left="1440"/>
      </w:pPr>
      <w:r>
        <w:t>and</w:t>
      </w:r>
    </w:p>
    <w:p w14:paraId="409C2195" w14:textId="77777777" w:rsidR="00D35771" w:rsidRPr="00D35771" w:rsidRDefault="00D35771" w:rsidP="00D35771">
      <w:pPr>
        <w:ind w:left="1440"/>
      </w:pPr>
    </w:p>
    <w:p w14:paraId="40C1201B" w14:textId="77777777" w:rsidR="00D35771" w:rsidRPr="00D35771" w:rsidRDefault="00D35771" w:rsidP="00D35771">
      <w:pPr>
        <w:ind w:left="1440"/>
        <w:rPr>
          <w:b/>
          <w:bCs/>
        </w:rPr>
      </w:pPr>
      <w:r w:rsidRPr="00D35771">
        <w:rPr>
          <w:b/>
          <w:bCs/>
        </w:rPr>
        <w:t>injustice can be avoided only by enforcement of the promise</w:t>
      </w:r>
      <w:r>
        <w:rPr>
          <w:b/>
          <w:bCs/>
        </w:rPr>
        <w:t xml:space="preserve"> [do you see why we should place this element here?]</w:t>
      </w:r>
    </w:p>
    <w:p w14:paraId="4BF97084" w14:textId="77777777" w:rsidR="00BB00C6" w:rsidRDefault="00BB00C6" w:rsidP="00D35771">
      <w:pPr>
        <w:ind w:left="720"/>
      </w:pPr>
    </w:p>
    <w:p w14:paraId="3B5E6772" w14:textId="77777777" w:rsidR="00D35771" w:rsidRDefault="00D35771" w:rsidP="00D35771">
      <w:pPr>
        <w:ind w:left="720"/>
      </w:pPr>
      <w:r>
        <w:t>then</w:t>
      </w:r>
    </w:p>
    <w:p w14:paraId="2FB3650B" w14:textId="77777777" w:rsidR="00D35771" w:rsidRDefault="00D35771" w:rsidP="00D35771">
      <w:pPr>
        <w:ind w:left="1440"/>
      </w:pPr>
      <w:r>
        <w:t xml:space="preserve">the promise is binding </w:t>
      </w:r>
    </w:p>
    <w:p w14:paraId="10382EAA" w14:textId="77777777" w:rsidR="00D35771" w:rsidRDefault="00D35771" w:rsidP="00D35771">
      <w:pPr>
        <w:ind w:left="720"/>
      </w:pPr>
    </w:p>
    <w:p w14:paraId="5662F72A" w14:textId="77777777" w:rsidR="00D35771" w:rsidRPr="00D35771" w:rsidRDefault="00D35771" w:rsidP="00D35771">
      <w:pPr>
        <w:pStyle w:val="Heading3"/>
      </w:pPr>
      <w:r w:rsidRPr="00D35771">
        <w:t>Rule 2</w:t>
      </w:r>
    </w:p>
    <w:p w14:paraId="2DB0E412" w14:textId="77777777" w:rsidR="00BB00C6" w:rsidRDefault="00BB00C6" w:rsidP="00D35771">
      <w:pPr>
        <w:ind w:left="720"/>
      </w:pPr>
      <w:r w:rsidRPr="00ED2C5B">
        <w:t>The remedy granted for breach may be limited as justice requires.</w:t>
      </w:r>
    </w:p>
    <w:p w14:paraId="762A49E6" w14:textId="77777777" w:rsidR="00BB00C6" w:rsidRPr="00BB00C6" w:rsidRDefault="00BB00C6" w:rsidP="00BB00C6"/>
    <w:p w14:paraId="4F61E1B5" w14:textId="77777777" w:rsidR="00035A7E" w:rsidRPr="00035A7E" w:rsidRDefault="00035A7E" w:rsidP="00D35771">
      <w:pPr>
        <w:pStyle w:val="Heading1"/>
      </w:pPr>
      <w:r w:rsidRPr="00035A7E">
        <w:t>Key argument enthymemes in the three opinions</w:t>
      </w:r>
    </w:p>
    <w:p w14:paraId="791CBEFB" w14:textId="77777777" w:rsidR="00035A7E" w:rsidRDefault="00035A7E" w:rsidP="00BB00C6">
      <w:pPr>
        <w:pStyle w:val="Heading3"/>
      </w:pPr>
      <w:r>
        <w:t>majority</w:t>
      </w:r>
    </w:p>
    <w:p w14:paraId="5ED7A868" w14:textId="77777777" w:rsidR="00035A7E" w:rsidRPr="00C75942" w:rsidRDefault="0078463D" w:rsidP="00035A7E">
      <w:hyperlink w:anchor="Document1zzF21996062961" w:history="1">
        <w:r w:rsidR="00035A7E" w:rsidRPr="00C75942">
          <w:t>[2]</w:t>
        </w:r>
      </w:hyperlink>
      <w:bookmarkStart w:id="1" w:name="Document1zzB21996062961"/>
      <w:bookmarkEnd w:id="1"/>
      <w:r w:rsidR="00035A7E" w:rsidRPr="00C75942">
        <w:t xml:space="preserve"> There was no formal written contract whereby Wright agreed to support Newman's son. Compare </w:t>
      </w:r>
      <w:hyperlink r:id="rId7" w:history="1">
        <w:r w:rsidR="00035A7E" w:rsidRPr="00C75942">
          <w:t>Foltz v. Foltz,</w:t>
        </w:r>
      </w:hyperlink>
      <w:hyperlink r:id="rId8" w:history="1">
        <w:r w:rsidR="00035A7E" w:rsidRPr="00C75942">
          <w:t xml:space="preserve"> supra.</w:t>
        </w:r>
      </w:hyperlink>
      <w:r w:rsidR="00035A7E" w:rsidRPr="00C75942">
        <w:t xml:space="preserve"> Nevertheless, under this state's contract law,</w:t>
      </w:r>
    </w:p>
    <w:p w14:paraId="12647620" w14:textId="77777777" w:rsidR="00035A7E" w:rsidRPr="00C75942" w:rsidRDefault="00035A7E" w:rsidP="00035A7E"/>
    <w:p w14:paraId="33146305" w14:textId="77777777" w:rsidR="00035A7E" w:rsidRPr="00C75942" w:rsidRDefault="00035A7E" w:rsidP="00F779F4">
      <w:pPr>
        <w:ind w:left="720"/>
      </w:pPr>
      <w:r w:rsidRPr="00C75942">
        <w:t>[a]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requires.</w:t>
      </w:r>
    </w:p>
    <w:p w14:paraId="302795E7" w14:textId="77777777" w:rsidR="00035A7E" w:rsidRPr="00C75942" w:rsidRDefault="00035A7E" w:rsidP="00035A7E"/>
    <w:p w14:paraId="79AE85A6" w14:textId="77777777" w:rsidR="00035A7E" w:rsidRPr="00C75942" w:rsidRDefault="0078463D" w:rsidP="00035A7E">
      <w:hyperlink r:id="rId9" w:history="1">
        <w:r w:rsidR="00035A7E" w:rsidRPr="00C75942">
          <w:rPr>
            <w:color w:val="0000FF"/>
            <w:u w:val="single"/>
          </w:rPr>
          <w:t>OCGA § 13-3-44(a)</w:t>
        </w:r>
      </w:hyperlink>
      <w:r w:rsidR="00035A7E" w:rsidRPr="00C75942">
        <w:t xml:space="preserve">. This statute codifies the principle of promissory estoppel. </w:t>
      </w:r>
      <w:hyperlink r:id="rId10" w:history="1">
        <w:r w:rsidR="00035A7E" w:rsidRPr="00C75942">
          <w:rPr>
            <w:i/>
            <w:iCs/>
            <w:color w:val="0000FF"/>
            <w:u w:val="single"/>
          </w:rPr>
          <w:t>Insilco Corp. v. First Nat. Bank of Dalton,</w:t>
        </w:r>
      </w:hyperlink>
      <w:hyperlink r:id="rId11" w:history="1">
        <w:r w:rsidR="00035A7E" w:rsidRPr="00C75942">
          <w:rPr>
            <w:color w:val="0000FF"/>
            <w:u w:val="single"/>
          </w:rPr>
          <w:t xml:space="preserve"> 248 Ga. 322(1), 283 S.E.2d 262 (1981)</w:t>
        </w:r>
      </w:hyperlink>
      <w:r w:rsidR="00035A7E" w:rsidRPr="00C75942">
        <w:t>. In accordance with that principle,</w:t>
      </w:r>
    </w:p>
    <w:p w14:paraId="374A1D21" w14:textId="77777777" w:rsidR="004545A9" w:rsidRDefault="004545A9" w:rsidP="00035A7E"/>
    <w:p w14:paraId="314C3D27" w14:textId="77777777" w:rsidR="00035A7E" w:rsidRPr="00C75942" w:rsidRDefault="00035A7E" w:rsidP="004545A9">
      <w:pPr>
        <w:ind w:left="720"/>
      </w:pPr>
      <w:r w:rsidRPr="00C75942">
        <w:t>“[a] party may enter into a contract invalid and unenforceable, and by reason of the covenants therein contained and promises made in connection with the same, wrongfully cause the opposite party to forego a valuable legal right to his detriment, and in this manner by his conduct waive the right to repudiate the contract and become estopped to deny the opposite party any benefits that may accrue to him under the terms of the agreement.” [</w:t>
      </w:r>
      <w:proofErr w:type="spellStart"/>
      <w:r w:rsidRPr="00C75942">
        <w:t>Cits</w:t>
      </w:r>
      <w:proofErr w:type="spellEnd"/>
      <w:r w:rsidRPr="00C75942">
        <w:t>.]</w:t>
      </w:r>
    </w:p>
    <w:p w14:paraId="54D2C38E" w14:textId="77777777" w:rsidR="00035A7E" w:rsidRPr="00C75942" w:rsidRDefault="00035A7E" w:rsidP="00035A7E"/>
    <w:p w14:paraId="34A4F5E1" w14:textId="77777777" w:rsidR="00035A7E" w:rsidRPr="00C75942" w:rsidRDefault="00035A7E" w:rsidP="00035A7E">
      <w:r w:rsidRPr="00C75942">
        <w:t xml:space="preserve"> </w:t>
      </w:r>
      <w:hyperlink r:id="rId12" w:history="1">
        <w:r w:rsidRPr="00C75942">
          <w:rPr>
            <w:i/>
            <w:iCs/>
            <w:color w:val="0000FF"/>
            <w:u w:val="single"/>
          </w:rPr>
          <w:t>Pepsi Cola Bottling Co. of Dothan, Ala., Inc. v. First Nat. Bank of Columbus,</w:t>
        </w:r>
      </w:hyperlink>
      <w:hyperlink r:id="rId13" w:history="1">
        <w:r w:rsidRPr="00C75942">
          <w:rPr>
            <w:color w:val="0000FF"/>
            <w:u w:val="single"/>
          </w:rPr>
          <w:t xml:space="preserve"> 248 Ga. 114, 116-117(2), 281 S.E.2d 579 (1981)</w:t>
        </w:r>
      </w:hyperlink>
      <w:r w:rsidRPr="00C75942">
        <w:t>.</w:t>
      </w:r>
    </w:p>
    <w:p w14:paraId="377983AB" w14:textId="77777777" w:rsidR="00035A7E" w:rsidRPr="00C75942" w:rsidRDefault="00035A7E" w:rsidP="00035A7E"/>
    <w:p w14:paraId="4BBD032C" w14:textId="77777777" w:rsidR="00035A7E" w:rsidRPr="00C75942" w:rsidRDefault="0078463D" w:rsidP="00035A7E">
      <w:hyperlink w:anchor="Document1zzF31996062961" w:history="1">
        <w:r w:rsidR="00035A7E" w:rsidRPr="00F779F4">
          <w:rPr>
            <w:b/>
            <w:bCs/>
            <w:color w:val="0000FF"/>
            <w:u w:val="single"/>
          </w:rPr>
          <w:t>[3]</w:t>
        </w:r>
      </w:hyperlink>
      <w:bookmarkStart w:id="2" w:name="Document1zzB31996062961"/>
      <w:bookmarkEnd w:id="2"/>
      <w:r w:rsidR="00035A7E" w:rsidRPr="00F779F4">
        <w:rPr>
          <w:b/>
          <w:bCs/>
        </w:rPr>
        <w:t xml:space="preserve"> The evidence authorizes the finding that Wright promised both Newman and her son that he would assume all of the obligations and responsibilities of fatherhood, including that of providing support</w:t>
      </w:r>
      <w:r w:rsidR="00035A7E" w:rsidRPr="00C75942">
        <w:t xml:space="preserve">. As the trial court found, this promise was evidenced by Wright's listing of himself as the father on the child's birth certificate and giving the child his last name. Wright is presumed to know “the legal consequences of his actions. Since parents are legally obligated to support their minor children, [he] accepted this support obligation by acknowledging paternity.” </w:t>
      </w:r>
      <w:hyperlink r:id="rId14" w:history="1">
        <w:r w:rsidR="00035A7E" w:rsidRPr="00C75942">
          <w:rPr>
            <w:i/>
            <w:iCs/>
            <w:color w:val="0000FF"/>
            <w:u w:val="single"/>
          </w:rPr>
          <w:t>Marshall v. Marshall,</w:t>
        </w:r>
      </w:hyperlink>
      <w:hyperlink r:id="rId15" w:history="1">
        <w:r w:rsidR="00035A7E" w:rsidRPr="00C75942">
          <w:rPr>
            <w:color w:val="0000FF"/>
            <w:u w:val="single"/>
          </w:rPr>
          <w:t xml:space="preserve"> 386 So.2d 11, 12 (Fla.App.1980)</w:t>
        </w:r>
      </w:hyperlink>
      <w:r w:rsidR="00035A7E" w:rsidRPr="00C75942">
        <w:t xml:space="preserve">. There is no dispute that, at the time he made his commitment, Wright knew that he was not the natural father of the child. Compare </w:t>
      </w:r>
      <w:hyperlink r:id="rId16" w:history="1">
        <w:r w:rsidR="00035A7E" w:rsidRPr="00C75942">
          <w:rPr>
            <w:i/>
            <w:iCs/>
            <w:color w:val="0000FF"/>
            <w:u w:val="single"/>
          </w:rPr>
          <w:t>NPA v. WBA,</w:t>
        </w:r>
      </w:hyperlink>
      <w:hyperlink r:id="rId17" w:history="1">
        <w:r w:rsidR="00035A7E" w:rsidRPr="00C75942">
          <w:rPr>
            <w:color w:val="0000FF"/>
            <w:u w:val="single"/>
          </w:rPr>
          <w:t xml:space="preserve"> 8 </w:t>
        </w:r>
        <w:proofErr w:type="spellStart"/>
        <w:r w:rsidR="00035A7E" w:rsidRPr="00C75942">
          <w:rPr>
            <w:color w:val="0000FF"/>
            <w:u w:val="single"/>
          </w:rPr>
          <w:t>Va.App</w:t>
        </w:r>
        <w:proofErr w:type="spellEnd"/>
        <w:r w:rsidR="00035A7E" w:rsidRPr="00C75942">
          <w:rPr>
            <w:color w:val="0000FF"/>
            <w:u w:val="single"/>
          </w:rPr>
          <w:t>. 246, 380 S.E.2d 178 (1989)</w:t>
        </w:r>
      </w:hyperlink>
      <w:r w:rsidR="00035A7E" w:rsidRPr="00C75942">
        <w:t>. Thus, he undertook his commitment knowingly and voluntarily. Moreover, he continued to do so for some 10 years, holding himself out to others as the father of the child and allowing the child to consider him to be the natural father.</w:t>
      </w:r>
    </w:p>
    <w:p w14:paraId="2D2F96D6" w14:textId="77777777" w:rsidR="00035A7E" w:rsidRPr="00C75942" w:rsidRDefault="00035A7E" w:rsidP="00035A7E"/>
    <w:p w14:paraId="15BA6025" w14:textId="77777777" w:rsidR="00035A7E" w:rsidRPr="00C75942" w:rsidRDefault="00035A7E" w:rsidP="00035A7E">
      <w:r w:rsidRPr="00C75942">
        <w:rPr>
          <w:b/>
          <w:bCs/>
        </w:rPr>
        <w:t>The evidence further authorizes the finding that Newman and her son relied upon Wright's promise to their detriment.</w:t>
      </w:r>
      <w:r w:rsidRPr="00C75942">
        <w:t xml:space="preserve"> As the trial court found, Newman refrained from identifying and seeking support from the child's natural father. Had Newman not refrained from doing so, she might now have a source of financial support for the child and the child might now have a natural father who provided emotional, as well as financial, support. </w:t>
      </w:r>
      <w:r w:rsidRPr="00C75942">
        <w:rPr>
          <w:b/>
          <w:bCs/>
        </w:rPr>
        <w:t>If, after 10 years of honoring his voluntary commitment, Wright were now allowed to evade the consequences of his promise, an injustice to Newman and her son would result</w:t>
      </w:r>
      <w:r w:rsidRPr="00C75942">
        <w:t xml:space="preserve">. Under the evidence, the duty to support which Wright voluntarily assumed 10 years ago remains enforceable under the contractual doctrine of promissory estoppel and the trial court's order which compels Wright to discharge that obligation must be affirmed. See </w:t>
      </w:r>
      <w:hyperlink r:id="rId18" w:history="1">
        <w:r w:rsidRPr="00C75942">
          <w:rPr>
            <w:i/>
            <w:iCs/>
            <w:color w:val="0000FF"/>
            <w:u w:val="single"/>
          </w:rPr>
          <w:t>Nygard v. Nygard,</w:t>
        </w:r>
      </w:hyperlink>
      <w:hyperlink r:id="rId19" w:history="1">
        <w:r w:rsidRPr="00C75942">
          <w:rPr>
            <w:color w:val="0000FF"/>
            <w:u w:val="single"/>
          </w:rPr>
          <w:t xml:space="preserve"> 156 </w:t>
        </w:r>
        <w:proofErr w:type="spellStart"/>
        <w:r w:rsidRPr="00C75942">
          <w:rPr>
            <w:color w:val="0000FF"/>
            <w:u w:val="single"/>
          </w:rPr>
          <w:t>Mich.App</w:t>
        </w:r>
        <w:proofErr w:type="spellEnd"/>
        <w:r w:rsidRPr="00C75942">
          <w:rPr>
            <w:color w:val="0000FF"/>
            <w:u w:val="single"/>
          </w:rPr>
          <w:t>. 94, 401 N.W.2d 323 (1986)</w:t>
        </w:r>
      </w:hyperlink>
      <w:r w:rsidRPr="00C75942">
        <w:t xml:space="preserve">; </w:t>
      </w:r>
      <w:hyperlink r:id="rId20" w:history="1">
        <w:r w:rsidRPr="00C75942">
          <w:rPr>
            <w:i/>
            <w:iCs/>
            <w:color w:val="0000FF"/>
            <w:u w:val="single"/>
          </w:rPr>
          <w:t>Marshall v. Marshall,</w:t>
        </w:r>
      </w:hyperlink>
      <w:hyperlink r:id="rId21" w:history="1">
        <w:r w:rsidRPr="00C75942">
          <w:rPr>
            <w:color w:val="0000FF"/>
            <w:u w:val="single"/>
          </w:rPr>
          <w:t xml:space="preserve"> supra;</w:t>
        </w:r>
      </w:hyperlink>
      <w:r w:rsidRPr="00C75942">
        <w:t xml:space="preserve"> </w:t>
      </w:r>
      <w:hyperlink r:id="rId22" w:history="1">
        <w:r w:rsidRPr="00C75942">
          <w:rPr>
            <w:i/>
            <w:iCs/>
            <w:color w:val="0000FF"/>
            <w:u w:val="single"/>
          </w:rPr>
          <w:t>In re Marriage of Johnson,</w:t>
        </w:r>
      </w:hyperlink>
      <w:hyperlink r:id="rId23" w:history="1">
        <w:r w:rsidRPr="00C75942">
          <w:rPr>
            <w:color w:val="0000FF"/>
            <w:u w:val="single"/>
          </w:rPr>
          <w:t xml:space="preserve"> 88 Cal.App.3d 848, 152 </w:t>
        </w:r>
        <w:proofErr w:type="spellStart"/>
        <w:r w:rsidRPr="00C75942">
          <w:rPr>
            <w:color w:val="0000FF"/>
            <w:u w:val="single"/>
          </w:rPr>
          <w:t>Cal.Rptr</w:t>
        </w:r>
        <w:proofErr w:type="spellEnd"/>
        <w:r w:rsidRPr="00C75942">
          <w:rPr>
            <w:color w:val="0000FF"/>
            <w:u w:val="single"/>
          </w:rPr>
          <w:t>. 121 (1979)</w:t>
        </w:r>
      </w:hyperlink>
      <w:r w:rsidRPr="00C75942">
        <w:t xml:space="preserve">; </w:t>
      </w:r>
      <w:hyperlink r:id="rId24" w:history="1">
        <w:r w:rsidRPr="00C75942">
          <w:rPr>
            <w:i/>
            <w:iCs/>
            <w:color w:val="0000FF"/>
            <w:u w:val="single"/>
          </w:rPr>
          <w:t>Hartford v. Hartford,</w:t>
        </w:r>
      </w:hyperlink>
      <w:hyperlink r:id="rId25" w:history="1">
        <w:r w:rsidRPr="00C75942">
          <w:rPr>
            <w:color w:val="0000FF"/>
            <w:u w:val="single"/>
          </w:rPr>
          <w:t xml:space="preserve"> 53 Ohio App.2d 79, 7 O.O.3d 53, 371 N.E.2d 591 (1977)</w:t>
        </w:r>
      </w:hyperlink>
      <w:r w:rsidRPr="00C75942">
        <w:t>.</w:t>
      </w:r>
    </w:p>
    <w:p w14:paraId="2A071B19" w14:textId="77777777" w:rsidR="00035A7E" w:rsidRPr="00C75942" w:rsidRDefault="00035A7E" w:rsidP="00035A7E"/>
    <w:p w14:paraId="6DA755A3" w14:textId="77777777" w:rsidR="00035A7E" w:rsidRPr="00C75942" w:rsidRDefault="00035A7E" w:rsidP="00BB00C6">
      <w:pPr>
        <w:pStyle w:val="Heading3"/>
      </w:pPr>
      <w:r w:rsidRPr="00C75942">
        <w:t>concurrence</w:t>
      </w:r>
    </w:p>
    <w:p w14:paraId="478D39F6" w14:textId="77777777" w:rsidR="00035A7E" w:rsidRPr="00C75942" w:rsidRDefault="00035A7E" w:rsidP="00035A7E"/>
    <w:p w14:paraId="0FF57401" w14:textId="77777777" w:rsidR="00035A7E" w:rsidRPr="00C75942" w:rsidRDefault="00035A7E" w:rsidP="00035A7E">
      <w:pPr>
        <w:rPr>
          <w:b/>
          <w:bCs/>
        </w:rPr>
      </w:pPr>
      <w:r w:rsidRPr="00F779F4">
        <w:rPr>
          <w:b/>
          <w:bCs/>
        </w:rPr>
        <w:t xml:space="preserve">Promissory estoppel requires only that the reliance by the injured party be </w:t>
      </w:r>
      <w:r w:rsidRPr="00F779F4">
        <w:rPr>
          <w:b/>
          <w:bCs/>
          <w:i/>
          <w:iCs/>
        </w:rPr>
        <w:t>reasonable</w:t>
      </w:r>
      <w:r w:rsidRPr="00C75942">
        <w:rPr>
          <w:i/>
          <w:iCs/>
        </w:rPr>
        <w:t>.</w:t>
      </w:r>
      <w:hyperlink w:anchor="Document1zzB00441996062961" w:history="1">
        <w:r w:rsidRPr="00C75942">
          <w:rPr>
            <w:color w:val="0000FF"/>
            <w:u w:val="single"/>
            <w:vertAlign w:val="superscript"/>
          </w:rPr>
          <w:t>FN4</w:t>
        </w:r>
      </w:hyperlink>
      <w:bookmarkStart w:id="3" w:name="Document1zzF00441996062961"/>
      <w:bookmarkEnd w:id="3"/>
      <w:r w:rsidRPr="00C75942">
        <w:t xml:space="preserve"> In this case, it cannot seriously be argued that Newman's reliance was anything other than reasonable, as she had absolutely no indication that Wright would ever renege, especially after he fulfilled his promise for such a long time. </w:t>
      </w:r>
      <w:r w:rsidRPr="00C75942">
        <w:rPr>
          <w:b/>
          <w:bCs/>
        </w:rPr>
        <w:t>Moreover, contrary to the dissent's implicit assertion, promissory estoppel does not require that the injured party exhaust all other possible means of obtaining the benefit of the promise from any and all sources before being able to enforce the promise against the promisor. In this regard, it is illogical to argue that Newman, after reasonably relying upon Wright's promise for ten years, can now simply seek to determine the identity of the biological father and collect support from him. First, there is nothing in the case law that requires Newman to do so before being entitled to have Wright's promise enforced. Second, this requirement would be an imposing, if not an impossible, burden, and would require Newman not only to identify the father (if possible), but also to locate him, bring a costly legal action against him, and to succeed in that action. Imposing this requirement would effectively penalize Newman for no reasons other than (1) her reasonable reliance upon a promise that was not kept, and (2) for allowing herself to be dissuaded by Wright from seeking the identity of the biological father. As noted, nowhere does the case law support imposing such a requirement, and none of the facts in this case support doing so now.</w:t>
      </w:r>
    </w:p>
    <w:p w14:paraId="566FF17A" w14:textId="77777777" w:rsidR="00035A7E" w:rsidRPr="00C75942" w:rsidRDefault="00035A7E" w:rsidP="00035A7E"/>
    <w:p w14:paraId="1F8FA81E" w14:textId="77777777" w:rsidR="00035A7E" w:rsidRPr="00C75942" w:rsidRDefault="00035A7E" w:rsidP="00035A7E">
      <w:r w:rsidRPr="00C75942">
        <w:rPr>
          <w:b/>
          <w:bCs/>
        </w:rPr>
        <w:t>Finally, there can be no doubt that, unless Wright's promise to Newman is enforced, injustice will result.</w:t>
      </w:r>
      <w:r w:rsidRPr="00C75942">
        <w:t xml:space="preserve"> Given the approximately ten years that have passed since the child's birth, during which time Wright, for all purposes, </w:t>
      </w:r>
      <w:r w:rsidRPr="00C75942">
        <w:rPr>
          <w:i/>
          <w:iCs/>
        </w:rPr>
        <w:t>was</w:t>
      </w:r>
      <w:r w:rsidRPr="00C75942">
        <w:t xml:space="preserve"> the child's father, it likely will be impossible for Newman to establish the identity of the child's biological father, bring a successful paternity action, and obtain support from that individual. Consequently, if Wright is allowed to renege on his obligation, Newman likely will not receive any support to assist in the cost of raising her son, despite having been promised the receipt of such by Wright. Furthermore, an even greater injustice will be inflicted upon the boy himself. A child who has been told by any adult, regardless of the existence of a biological relationship, that he will always be able to depend upon the adult for parenting and sustenance, will suffer a great deal when that commitment is broken. And </w:t>
      </w:r>
      <w:r w:rsidRPr="00C75942">
        <w:rPr>
          <w:b/>
          <w:bCs/>
        </w:rPr>
        <w:t>*523</w:t>
      </w:r>
      <w:r w:rsidRPr="00C75942">
        <w:t xml:space="preserve"> when a child suffers under those circumstances, society-at-large suffers as well.</w:t>
      </w:r>
      <w:hyperlink w:anchor="Document1zzB00551996062961" w:history="1">
        <w:r w:rsidRPr="00C75942">
          <w:rPr>
            <w:color w:val="0000FF"/>
            <w:u w:val="single"/>
            <w:vertAlign w:val="superscript"/>
          </w:rPr>
          <w:t>FN5</w:t>
        </w:r>
      </w:hyperlink>
      <w:bookmarkStart w:id="4" w:name="Document1zzF00551996062961"/>
      <w:bookmarkEnd w:id="4"/>
    </w:p>
    <w:p w14:paraId="653155B9" w14:textId="77777777" w:rsidR="00035A7E" w:rsidRPr="00C75942" w:rsidRDefault="00035A7E" w:rsidP="00035A7E"/>
    <w:p w14:paraId="30B27758" w14:textId="77777777" w:rsidR="00035A7E" w:rsidRPr="00C75942" w:rsidRDefault="0078463D" w:rsidP="00035A7E">
      <w:hyperlink w:anchor="Document1zzF00551996062961" w:history="1">
        <w:r w:rsidR="00035A7E" w:rsidRPr="00C75942">
          <w:rPr>
            <w:color w:val="0000FF"/>
            <w:u w:val="single"/>
          </w:rPr>
          <w:t>FN5.</w:t>
        </w:r>
      </w:hyperlink>
      <w:bookmarkStart w:id="5" w:name="Document1zzB00551996062961"/>
      <w:bookmarkEnd w:id="5"/>
      <w:r w:rsidR="00035A7E" w:rsidRPr="00C75942">
        <w:t xml:space="preserve"> </w:t>
      </w:r>
      <w:r w:rsidR="00035A7E" w:rsidRPr="00C75942">
        <w:rPr>
          <w:b/>
          <w:bCs/>
        </w:rPr>
        <w:t>Wright is also morally obligated to provide support for Newman's son.</w:t>
      </w:r>
      <w:r w:rsidR="00035A7E" w:rsidRPr="00C75942">
        <w:t xml:space="preserve"> Merely because an obligation may not be capable of legal enforcement, one is not necessarily free to act in any way that he might choose. In addition to our legal duties, we are also bound by a consciousness of duty that is based upon fundamental values such as honor, truth, and responsibility. The “non-legal” obligations that we undertake are no less sacrosanct merely because they may not be capable of legal enforcement. The moral (as opposed to the legal) dilemma faced by Wright lies within his conscience, heart, and soul. He need have looked no further than there to determine what he must do in this case.</w:t>
      </w:r>
    </w:p>
    <w:p w14:paraId="49993C57" w14:textId="77777777" w:rsidR="00035A7E" w:rsidRPr="00C75942" w:rsidRDefault="00035A7E" w:rsidP="00035A7E"/>
    <w:p w14:paraId="16ACB97D" w14:textId="77777777" w:rsidR="00035A7E" w:rsidRPr="00C75942" w:rsidRDefault="00035A7E" w:rsidP="00035A7E">
      <w:r w:rsidRPr="00C75942">
        <w:t>Because Wright's promise is capable of being enforced under the law, and because I believe that Wright's promise must be enforced in order to prevent a grave miscarriage of justice, I concur fully in the majority opinion.</w:t>
      </w:r>
    </w:p>
    <w:p w14:paraId="7B54A8C1" w14:textId="77777777" w:rsidR="00035A7E" w:rsidRPr="00C75942" w:rsidRDefault="00035A7E" w:rsidP="00F779F4">
      <w:pPr>
        <w:pStyle w:val="Heading2"/>
      </w:pPr>
      <w:r w:rsidRPr="00C75942">
        <w:t>dissent</w:t>
      </w:r>
    </w:p>
    <w:p w14:paraId="79DAE4BA" w14:textId="77777777" w:rsidR="00035A7E" w:rsidRPr="00C75942" w:rsidRDefault="00035A7E" w:rsidP="00035A7E">
      <w:r w:rsidRPr="00C75942">
        <w:t xml:space="preserve">I respectfully dissent. While I agree with the majority opinion's statement that liability for child support may be based on promissory estoppel in a case where there is no statutory obligation or express contract, I first note that this issue was not brought by either of the parties. </w:t>
      </w:r>
      <w:r w:rsidRPr="00C75942">
        <w:rPr>
          <w:b/>
          <w:bCs/>
        </w:rPr>
        <w:t xml:space="preserve">Further, there is a critical element that must be shown for promissory estoppel to apply. </w:t>
      </w:r>
      <w:r w:rsidRPr="00C75942">
        <w:t xml:space="preserve">In addition to </w:t>
      </w:r>
      <w:r w:rsidRPr="00C75942">
        <w:rPr>
          <w:b/>
          <w:bCs/>
        </w:rPr>
        <w:t>**537</w:t>
      </w:r>
      <w:r w:rsidRPr="00C75942">
        <w:t xml:space="preserve"> making a showing of expectation and reasonable reliance, a person asserting liability on the theory of promissory estoppel must show that she relied on the promise to her detriment. </w:t>
      </w:r>
      <w:hyperlink r:id="rId26" w:history="1">
        <w:r w:rsidRPr="00C75942">
          <w:rPr>
            <w:i/>
            <w:iCs/>
            <w:color w:val="0000FF"/>
            <w:u w:val="single"/>
          </w:rPr>
          <w:t>Nickell v. IAG Federal Credit Union,</w:t>
        </w:r>
      </w:hyperlink>
      <w:hyperlink r:id="rId27" w:history="1">
        <w:r w:rsidRPr="00C75942">
          <w:rPr>
            <w:color w:val="0000FF"/>
            <w:u w:val="single"/>
          </w:rPr>
          <w:t xml:space="preserve"> 213 </w:t>
        </w:r>
        <w:proofErr w:type="spellStart"/>
        <w:r w:rsidRPr="00C75942">
          <w:rPr>
            <w:color w:val="0000FF"/>
            <w:u w:val="single"/>
          </w:rPr>
          <w:t>Ga.App</w:t>
        </w:r>
        <w:proofErr w:type="spellEnd"/>
        <w:r w:rsidRPr="00C75942">
          <w:rPr>
            <w:color w:val="0000FF"/>
            <w:u w:val="single"/>
          </w:rPr>
          <w:t>. 516, 445 S.E.2d 335 (1994)</w:t>
        </w:r>
      </w:hyperlink>
      <w:r w:rsidRPr="00C75942">
        <w:t xml:space="preserve">; </w:t>
      </w:r>
      <w:hyperlink r:id="rId28" w:history="1">
        <w:r w:rsidRPr="00C75942">
          <w:rPr>
            <w:i/>
            <w:iCs/>
            <w:color w:val="0000FF"/>
            <w:u w:val="single"/>
          </w:rPr>
          <w:t xml:space="preserve">Lake </w:t>
        </w:r>
        <w:proofErr w:type="spellStart"/>
        <w:r w:rsidRPr="00C75942">
          <w:rPr>
            <w:i/>
            <w:iCs/>
            <w:color w:val="0000FF"/>
            <w:u w:val="single"/>
          </w:rPr>
          <w:t>Tightsqueeze</w:t>
        </w:r>
        <w:proofErr w:type="spellEnd"/>
        <w:r w:rsidRPr="00C75942">
          <w:rPr>
            <w:i/>
            <w:iCs/>
            <w:color w:val="0000FF"/>
            <w:u w:val="single"/>
          </w:rPr>
          <w:t>, Inc. v. Chrysler First Financial Services Corp.,</w:t>
        </w:r>
      </w:hyperlink>
      <w:hyperlink r:id="rId29" w:history="1">
        <w:r w:rsidRPr="00C75942">
          <w:rPr>
            <w:color w:val="0000FF"/>
            <w:u w:val="single"/>
          </w:rPr>
          <w:t xml:space="preserve"> 210 </w:t>
        </w:r>
        <w:proofErr w:type="spellStart"/>
        <w:r w:rsidRPr="00C75942">
          <w:rPr>
            <w:color w:val="0000FF"/>
            <w:u w:val="single"/>
          </w:rPr>
          <w:t>Ga.App</w:t>
        </w:r>
        <w:proofErr w:type="spellEnd"/>
        <w:r w:rsidRPr="00C75942">
          <w:rPr>
            <w:color w:val="0000FF"/>
            <w:u w:val="single"/>
          </w:rPr>
          <w:t>. 178, 435 S.E.2d 486 (1993)</w:t>
        </w:r>
      </w:hyperlink>
      <w:r w:rsidRPr="00C75942">
        <w:t>. The majority states that Newman and her son incurred detriment by refraining from identifying and seeking support from the child's natural father. However, the record is completely bereft of any evidence that Newman met her burden of proof as to promissory estoppel, and the majority fails to state how she is prevented from now instituting a child support action against the natural father. Newman has not alleged, nor does the record reveal, that she does not know the identity of the natural father, nor does she show that the natural father is dead or unable to be found. Consequently, Newman has not shown that she is now unable to do what she would have had to do ten years ago-seek support from the natural father.</w:t>
      </w:r>
    </w:p>
    <w:p w14:paraId="5D85B412" w14:textId="77777777" w:rsidR="00035A7E" w:rsidRPr="00C75942" w:rsidRDefault="00035A7E" w:rsidP="00035A7E"/>
    <w:p w14:paraId="6D5A0428" w14:textId="77777777" w:rsidR="00035A7E" w:rsidRPr="00C75942" w:rsidRDefault="00035A7E" w:rsidP="00035A7E">
      <w:r w:rsidRPr="00C75942">
        <w:t xml:space="preserve">In fact, Wright contends, and Newman does not refute, that Newman severed the relationship and all ties with Wright when the child was approximately three years old. For approximately the next five years, until the child was eight, Newman and Wright did not communicate. Only for the past two years has Wright visited with the child. Importantly, Wright contends that during the past seven years he did not support the child. Thus, taking Wright's undisputed contentions as true, any prejudice incurred by Newman because of the passage of ten years in time is not due to Wright's actions, since, at least for the past seven years, Newman has been in the same situation-receiving no support payments from Wright. </w:t>
      </w:r>
      <w:r w:rsidRPr="00C75942">
        <w:rPr>
          <w:b/>
          <w:bCs/>
        </w:rPr>
        <w:t>Thus, although Wright may be morally obligated to support the ten-year-old child, he is not legally obligated to do so because Newman has failed to show that she or the child incurred any detriment by Wright's failure to fulfill his promise made ten years ago.</w:t>
      </w:r>
    </w:p>
    <w:p w14:paraId="315E68C5" w14:textId="77777777" w:rsidR="00035A7E" w:rsidRPr="00C75942" w:rsidRDefault="00035A7E" w:rsidP="00035A7E"/>
    <w:p w14:paraId="0DE61953" w14:textId="77777777" w:rsidR="00035A7E" w:rsidRPr="00C75942" w:rsidRDefault="00035A7E" w:rsidP="00035A7E">
      <w:r w:rsidRPr="00C75942">
        <w:t>For the foregoing reasons, I dissent.</w:t>
      </w:r>
    </w:p>
    <w:p w14:paraId="4F662AC4" w14:textId="77777777" w:rsidR="00035A7E" w:rsidRDefault="00035A7E" w:rsidP="00035A7E">
      <w:pPr>
        <w:rPr>
          <w:lang w:bidi="sa-IN"/>
        </w:rPr>
      </w:pPr>
    </w:p>
    <w:p w14:paraId="1D838216" w14:textId="77777777" w:rsidR="00E15242" w:rsidRDefault="00B064AA" w:rsidP="004545A9">
      <w:r>
        <w:t xml:space="preserve"> </w:t>
      </w:r>
      <w:bookmarkStart w:id="6" w:name="co_document_1"/>
      <w:bookmarkStart w:id="7" w:name="I731368c5038011dabf60c1d57ebc853e_Target"/>
      <w:bookmarkEnd w:id="6"/>
      <w:bookmarkEnd w:id="7"/>
      <w:r w:rsidR="00E15242">
        <w:t>Rulification exercises</w:t>
      </w:r>
    </w:p>
    <w:p w14:paraId="59225A83" w14:textId="77777777" w:rsidR="00E15242" w:rsidRDefault="00E15242" w:rsidP="00F779F4">
      <w:pPr>
        <w:pStyle w:val="Heading2"/>
      </w:pPr>
      <w:r>
        <w:t>(1)</w:t>
      </w:r>
    </w:p>
    <w:p w14:paraId="15F7293C" w14:textId="77777777" w:rsidR="00E15242" w:rsidRDefault="00E15242" w:rsidP="00035A7E">
      <w:r w:rsidRPr="00A14919">
        <w:rPr>
          <w:highlight w:val="yellow"/>
        </w:rPr>
        <w:t>“[a] party may enter into a contract invalid and unenforceable, and by reason of the covenants therein contained and promises made in connection with the same, wrongfully cause the opposite party to forego a valuable legal right to his detriment, and in this manner by his conduct waive the right to repudiate the contract and become estopped to deny the opposite party any benefits that may accrue to him under the terms of the agreement.” [</w:t>
      </w:r>
      <w:commentRangeStart w:id="8"/>
      <w:proofErr w:type="spellStart"/>
      <w:r w:rsidRPr="00A14919">
        <w:rPr>
          <w:highlight w:val="yellow"/>
        </w:rPr>
        <w:t>Cits</w:t>
      </w:r>
      <w:commentRangeEnd w:id="8"/>
      <w:proofErr w:type="spellEnd"/>
      <w:r>
        <w:rPr>
          <w:rStyle w:val="CommentReference"/>
        </w:rPr>
        <w:commentReference w:id="8"/>
      </w:r>
      <w:r w:rsidRPr="00A14919">
        <w:rPr>
          <w:highlight w:val="yellow"/>
        </w:rPr>
        <w:t>.]</w:t>
      </w:r>
    </w:p>
    <w:p w14:paraId="45F5ADE0" w14:textId="77777777" w:rsidR="00E15242" w:rsidRDefault="00E15242" w:rsidP="00F779F4">
      <w:pPr>
        <w:pStyle w:val="Heading2"/>
      </w:pPr>
      <w:r>
        <w:t>(2)</w:t>
      </w:r>
    </w:p>
    <w:p w14:paraId="7D1C445C" w14:textId="77777777" w:rsidR="00E15242" w:rsidRDefault="00E15242" w:rsidP="00035A7E">
      <w:r w:rsidRPr="00A14919">
        <w:rPr>
          <w:highlight w:val="yellow"/>
        </w:rPr>
        <w:t xml:space="preserve">[a]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w:t>
      </w:r>
      <w:commentRangeStart w:id="9"/>
      <w:r w:rsidRPr="00A14919">
        <w:rPr>
          <w:highlight w:val="yellow"/>
        </w:rPr>
        <w:t>requires</w:t>
      </w:r>
      <w:commentRangeEnd w:id="9"/>
      <w:r>
        <w:rPr>
          <w:rStyle w:val="CommentReference"/>
        </w:rPr>
        <w:commentReference w:id="9"/>
      </w:r>
      <w:r w:rsidRPr="00A14919">
        <w:rPr>
          <w:highlight w:val="yellow"/>
        </w:rPr>
        <w:t>.</w:t>
      </w:r>
    </w:p>
    <w:p w14:paraId="40778365" w14:textId="77777777" w:rsidR="00E15242" w:rsidRDefault="00E15242" w:rsidP="00F779F4">
      <w:pPr>
        <w:pStyle w:val="Heading2"/>
      </w:pPr>
      <w:r>
        <w:t>(3)</w:t>
      </w:r>
    </w:p>
    <w:p w14:paraId="43F88AD7" w14:textId="77777777" w:rsidR="00E15242" w:rsidRDefault="00E15242" w:rsidP="00035A7E">
      <w:pPr>
        <w:rPr>
          <w:sz w:val="16"/>
          <w:szCs w:val="16"/>
        </w:rPr>
      </w:pPr>
      <w:r w:rsidRPr="00C842A5">
        <w:rPr>
          <w:highlight w:val="yellow"/>
        </w:rPr>
        <w:t xml:space="preserve">Sufficient consideration to enforce a contractual promise pursuant to promissory estoppel may be found in any benefit accruing to the promisor, or any reliance, loss, trouble, disadvantage, or charge imposed upon the </w:t>
      </w:r>
      <w:commentRangeStart w:id="10"/>
      <w:r w:rsidRPr="00C842A5">
        <w:rPr>
          <w:highlight w:val="yellow"/>
        </w:rPr>
        <w:t>promisee</w:t>
      </w:r>
      <w:commentRangeEnd w:id="10"/>
      <w:r>
        <w:rPr>
          <w:rStyle w:val="CommentReference"/>
        </w:rPr>
        <w:commentReference w:id="10"/>
      </w:r>
      <w:r>
        <w:t>.</w:t>
      </w:r>
      <w:hyperlink w:anchor="co_footnote_B00331996062961_1" w:history="1">
        <w:r>
          <w:rPr>
            <w:color w:val="0000FF"/>
            <w:sz w:val="16"/>
            <w:szCs w:val="16"/>
            <w:vertAlign w:val="superscript"/>
          </w:rPr>
          <w:t>3</w:t>
        </w:r>
      </w:hyperlink>
    </w:p>
    <w:p w14:paraId="30F32915" w14:textId="77777777" w:rsidR="00E15242" w:rsidRPr="00E15242" w:rsidRDefault="00E15242" w:rsidP="00035A7E"/>
    <w:p w14:paraId="7B7BCF56" w14:textId="77777777" w:rsidR="00E15242" w:rsidRPr="00E15242" w:rsidRDefault="00E15242" w:rsidP="00035A7E">
      <w:pPr>
        <w:pStyle w:val="Heading1"/>
      </w:pPr>
      <w:r>
        <w:t>Opinion --- argument enthymemes and rule enthymemes</w:t>
      </w:r>
    </w:p>
    <w:p w14:paraId="57CE05BC" w14:textId="77777777" w:rsidR="00E15242" w:rsidRDefault="00E15242" w:rsidP="00035A7E"/>
    <w:p w14:paraId="15BEE1EE" w14:textId="77777777" w:rsidR="00B064AA" w:rsidRDefault="00B064AA" w:rsidP="00035A7E">
      <w:r>
        <w:t>266 Ga. 519</w:t>
      </w:r>
    </w:p>
    <w:p w14:paraId="56EE18C3" w14:textId="77777777" w:rsidR="00B064AA" w:rsidRDefault="00B064AA" w:rsidP="00035A7E">
      <w:r>
        <w:t>Supreme Court of Georgia.</w:t>
      </w:r>
    </w:p>
    <w:p w14:paraId="0738DE9D" w14:textId="77777777" w:rsidR="00B064AA" w:rsidRDefault="00B064AA" w:rsidP="00035A7E">
      <w:r>
        <w:t>WRIGHT</w:t>
      </w:r>
    </w:p>
    <w:p w14:paraId="2BC0E47C" w14:textId="77777777" w:rsidR="00B064AA" w:rsidRDefault="00B064AA" w:rsidP="00035A7E">
      <w:r>
        <w:t>v.</w:t>
      </w:r>
    </w:p>
    <w:p w14:paraId="220A2C69" w14:textId="77777777" w:rsidR="00B064AA" w:rsidRDefault="00B064AA" w:rsidP="00035A7E">
      <w:r>
        <w:t>NEWMAN et al.</w:t>
      </w:r>
    </w:p>
    <w:p w14:paraId="7B5676EE" w14:textId="77777777" w:rsidR="00B064AA" w:rsidRDefault="00B064AA" w:rsidP="00035A7E">
      <w:r>
        <w:t>No. S95A1591. | March 4, 1996. | Reconsideration Denied March 29, 1996.</w:t>
      </w:r>
    </w:p>
    <w:p w14:paraId="3F1D90E8" w14:textId="77777777" w:rsidR="00B064AA" w:rsidRDefault="00B064AA" w:rsidP="00035A7E">
      <w:r>
        <w:t xml:space="preserve">Mother brought paternity action against former boyfriend. The Superior Court, Whitfield County, </w:t>
      </w:r>
      <w:hyperlink r:id="rId33" w:history="1">
        <w:r>
          <w:rPr>
            <w:color w:val="0000FF"/>
          </w:rPr>
          <w:t>Charles A. Pannell, Jr.</w:t>
        </w:r>
      </w:hyperlink>
      <w:r>
        <w:t xml:space="preserve">, J., ordered boyfriend to pay child support even though he was not natural or formally adoptive father of child. Boyfriend appealed. The Supreme Court, </w:t>
      </w:r>
      <w:hyperlink r:id="rId34" w:history="1">
        <w:r>
          <w:rPr>
            <w:color w:val="0000FF"/>
          </w:rPr>
          <w:t>Carley</w:t>
        </w:r>
      </w:hyperlink>
      <w:r>
        <w:t>, J., held that boyfriend was obligated to support child under doctrine of promissory estoppel.</w:t>
      </w:r>
    </w:p>
    <w:p w14:paraId="6C4CE547" w14:textId="77777777" w:rsidR="00B064AA" w:rsidRDefault="00B064AA" w:rsidP="00035A7E">
      <w:r>
        <w:t> </w:t>
      </w:r>
    </w:p>
    <w:p w14:paraId="5D04BC31" w14:textId="77777777" w:rsidR="00B064AA" w:rsidRDefault="00B064AA" w:rsidP="00035A7E">
      <w:r>
        <w:t>Affirmed.</w:t>
      </w:r>
    </w:p>
    <w:p w14:paraId="19B4971E" w14:textId="77777777" w:rsidR="00B064AA" w:rsidRDefault="00B064AA" w:rsidP="00035A7E">
      <w:r>
        <w:t> </w:t>
      </w:r>
    </w:p>
    <w:p w14:paraId="40162248" w14:textId="77777777" w:rsidR="00B064AA" w:rsidRDefault="0078463D" w:rsidP="00035A7E">
      <w:hyperlink r:id="rId35" w:history="1">
        <w:r w:rsidR="00B064AA">
          <w:rPr>
            <w:color w:val="0000FF"/>
          </w:rPr>
          <w:t>Sears</w:t>
        </w:r>
      </w:hyperlink>
      <w:r w:rsidR="00B064AA">
        <w:t>, J., concurred with separate opinion.</w:t>
      </w:r>
    </w:p>
    <w:p w14:paraId="2C2DE977" w14:textId="77777777" w:rsidR="00B064AA" w:rsidRDefault="00B064AA" w:rsidP="00035A7E">
      <w:r>
        <w:t> </w:t>
      </w:r>
    </w:p>
    <w:p w14:paraId="786254BE" w14:textId="77777777" w:rsidR="00B064AA" w:rsidRDefault="0078463D" w:rsidP="00035A7E">
      <w:hyperlink r:id="rId36" w:history="1">
        <w:r w:rsidR="00B064AA">
          <w:rPr>
            <w:color w:val="0000FF"/>
          </w:rPr>
          <w:t>Benham</w:t>
        </w:r>
      </w:hyperlink>
      <w:r w:rsidR="00B064AA">
        <w:t>, C.J., dissented and filed opinion.</w:t>
      </w:r>
    </w:p>
    <w:p w14:paraId="6F59E70B" w14:textId="77777777" w:rsidR="00B064AA" w:rsidRDefault="00B064AA" w:rsidP="00035A7E">
      <w:r>
        <w:t> </w:t>
      </w:r>
    </w:p>
    <w:p w14:paraId="67019218" w14:textId="77777777" w:rsidR="00B064AA" w:rsidRDefault="00B064AA" w:rsidP="00035A7E">
      <w:bookmarkStart w:id="11" w:name="co_pp_sp_359_524_1"/>
      <w:bookmarkEnd w:id="11"/>
      <w:r>
        <w:rPr>
          <w:b/>
          <w:bCs/>
        </w:rPr>
        <w:t>*524</w:t>
      </w:r>
      <w:r>
        <w:t xml:space="preserve"> </w:t>
      </w:r>
      <w:bookmarkStart w:id="12" w:name="co_pp_sp_711_534_1"/>
      <w:bookmarkEnd w:id="12"/>
      <w:r>
        <w:rPr>
          <w:b/>
          <w:bCs/>
        </w:rPr>
        <w:t>**534</w:t>
      </w:r>
      <w:r>
        <w:t xml:space="preserve"> Child support; promissory estoppel. Whitfield County Superior; Trial Judge: </w:t>
      </w:r>
      <w:hyperlink r:id="rId37" w:history="1">
        <w:r>
          <w:rPr>
            <w:color w:val="0000FF"/>
          </w:rPr>
          <w:t>Charles A. Pannell, Jr.</w:t>
        </w:r>
      </w:hyperlink>
    </w:p>
    <w:p w14:paraId="424EA1B9" w14:textId="77777777" w:rsidR="00B064AA" w:rsidRDefault="00B064AA" w:rsidP="00035A7E">
      <w:bookmarkStart w:id="13" w:name="co_attorneysAndLawFirms_1"/>
      <w:bookmarkEnd w:id="13"/>
      <w:r>
        <w:t>Attorneys and Law Firms</w:t>
      </w:r>
    </w:p>
    <w:p w14:paraId="5D9F0B79" w14:textId="77777777" w:rsidR="00B064AA" w:rsidRDefault="0078463D" w:rsidP="00035A7E">
      <w:hyperlink r:id="rId38" w:history="1">
        <w:r w:rsidR="00B064AA">
          <w:rPr>
            <w:color w:val="0000FF"/>
          </w:rPr>
          <w:t>R. Scott Cunningham</w:t>
        </w:r>
      </w:hyperlink>
      <w:r w:rsidR="00B064AA">
        <w:t>, Dalton, for Wright.</w:t>
      </w:r>
    </w:p>
    <w:p w14:paraId="398815EC" w14:textId="77777777" w:rsidR="00B064AA" w:rsidRDefault="0078463D" w:rsidP="00035A7E">
      <w:hyperlink r:id="rId39" w:history="1">
        <w:r w:rsidR="00B064AA">
          <w:rPr>
            <w:color w:val="0000FF"/>
          </w:rPr>
          <w:t>Dianne Cook</w:t>
        </w:r>
      </w:hyperlink>
      <w:r w:rsidR="00B064AA">
        <w:t xml:space="preserve">, Dalton, </w:t>
      </w:r>
      <w:hyperlink r:id="rId40" w:history="1">
        <w:r w:rsidR="00B064AA">
          <w:rPr>
            <w:color w:val="0000FF"/>
          </w:rPr>
          <w:t>Michael J. Bowers</w:t>
        </w:r>
      </w:hyperlink>
      <w:r w:rsidR="00B064AA">
        <w:t xml:space="preserve">, Atty. Gen., </w:t>
      </w:r>
      <w:hyperlink r:id="rId41" w:history="1">
        <w:r w:rsidR="00B064AA">
          <w:rPr>
            <w:color w:val="0000FF"/>
          </w:rPr>
          <w:t>Kevin M. O’Connor</w:t>
        </w:r>
      </w:hyperlink>
      <w:r w:rsidR="00B064AA">
        <w:t>, Asst. Atty. Gen., Department of Law, Atlanta, for Newman et al.</w:t>
      </w:r>
    </w:p>
    <w:p w14:paraId="34BDC6F7" w14:textId="77777777" w:rsidR="00B064AA" w:rsidRDefault="00B064AA" w:rsidP="00035A7E">
      <w:bookmarkStart w:id="14" w:name="co_opinion_1"/>
      <w:bookmarkEnd w:id="14"/>
      <w:r>
        <w:t>Opinion</w:t>
      </w:r>
    </w:p>
    <w:p w14:paraId="6F86CF77" w14:textId="77777777" w:rsidR="00B064AA" w:rsidRDefault="00B064AA" w:rsidP="00035A7E">
      <w:bookmarkStart w:id="15" w:name="co_pp_sp_359_519_1"/>
      <w:bookmarkEnd w:id="15"/>
      <w:r>
        <w:rPr>
          <w:b/>
          <w:bCs/>
        </w:rPr>
        <w:t>*519</w:t>
      </w:r>
      <w:r>
        <w:t xml:space="preserve"> </w:t>
      </w:r>
      <w:hyperlink r:id="rId42" w:history="1">
        <w:r>
          <w:rPr>
            <w:color w:val="0000FF"/>
          </w:rPr>
          <w:t>CARLEY</w:t>
        </w:r>
      </w:hyperlink>
      <w:r>
        <w:t>, Justice.</w:t>
      </w:r>
    </w:p>
    <w:p w14:paraId="21D1EAFD" w14:textId="77777777" w:rsidR="00B064AA" w:rsidRDefault="00B064AA" w:rsidP="00035A7E">
      <w:bookmarkStart w:id="16" w:name="co_anchor_Ibd0c8389562f11e08b05fdf15589d"/>
      <w:bookmarkEnd w:id="16"/>
    </w:p>
    <w:p w14:paraId="0D30AEF9" w14:textId="77777777" w:rsidR="00B064AA" w:rsidRDefault="00B064AA" w:rsidP="00035A7E">
      <w:r>
        <w:t>Seeking to recover child support for her daughter and her son, Kim Newman filed suit against Bruce Wright. Wright’s answer admitted his paternity only as to Newman’s daughter and DNA testing subsequently showed that he is not the father of her son. The trial court nevertheless ordered Wright to pay child support for both children. As to Newman’s son, the trial court based its order upon Wright’s “actions in having himself listed on the child’s birth certificate, giving the child his surname and establishing a parent-child relationship....” According to the trial court, Wright had thereby</w:t>
      </w:r>
    </w:p>
    <w:p w14:paraId="1FB54FBD" w14:textId="77777777" w:rsidR="00B064AA" w:rsidRDefault="00B064AA" w:rsidP="00035A7E">
      <w:r>
        <w:t xml:space="preserve">allow[ed] the child to consider him his father and in so doing </w:t>
      </w:r>
      <w:proofErr w:type="spellStart"/>
      <w:r>
        <w:t>deterr</w:t>
      </w:r>
      <w:proofErr w:type="spellEnd"/>
      <w:r>
        <w:t>[ed Newman] from seeking to establish the paternity of the child’s natural father [,] thus denying the child an opportunity to establish a parent-child relationship with the natural father.</w:t>
      </w:r>
    </w:p>
    <w:p w14:paraId="09C0D1DE" w14:textId="77777777" w:rsidR="00B064AA" w:rsidRDefault="00B064AA" w:rsidP="00035A7E">
      <w:r>
        <w:t>We granted Wright’s application for a discretionary appeal so as to review the trial court’s order requiring that he pay child support for Newman’s son.</w:t>
      </w:r>
    </w:p>
    <w:p w14:paraId="453FDAB6" w14:textId="77777777" w:rsidR="00B064AA" w:rsidRDefault="00B064AA" w:rsidP="00035A7E">
      <w:r>
        <w:t> </w:t>
      </w:r>
    </w:p>
    <w:p w14:paraId="3DB64046" w14:textId="77777777" w:rsidR="00B064AA" w:rsidRDefault="00B064AA" w:rsidP="00035A7E">
      <w:r>
        <w:t xml:space="preserve">Wright does not contest the trial court’s factual findings. He asserts only that the trial court erred in its legal conclusion that the facts authorized the imposition of an obligation to provide support for Newman’s son. </w:t>
      </w:r>
      <w:r w:rsidRPr="00711CEC">
        <w:rPr>
          <w:highlight w:val="yellow"/>
        </w:rPr>
        <w:t xml:space="preserve">If Wright were the natural father of Newman’s son, he would be legally obligated to provide support. </w:t>
      </w:r>
      <w:commentRangeStart w:id="17"/>
      <w:r w:rsidRPr="00711CEC">
        <w:rPr>
          <w:highlight w:val="yellow"/>
        </w:rPr>
        <w:fldChar w:fldCharType="begin"/>
      </w:r>
      <w:r w:rsidRPr="00711CEC">
        <w:rPr>
          <w:highlight w:val="yellow"/>
        </w:rPr>
        <w:instrText xml:space="preserve">HYPERLINK "http://www.westlaw.com/Link/Document/FullText?findType=L&amp;pubNum=1000468&amp;cite=GAST19-7-2&amp;originatingDoc=I731368c5038011dabf60c1d57ebc853e&amp;refType=LQ&amp;originationContext=document&amp;vr=3.0&amp;rs=cblt1.0&amp;transitionType=DocumentItem&amp;contextData=(sc.UserEnteredCitation)" </w:instrText>
      </w:r>
      <w:r w:rsidRPr="00711CEC">
        <w:rPr>
          <w:highlight w:val="yellow"/>
        </w:rPr>
        <w:fldChar w:fldCharType="separate"/>
      </w:r>
      <w:r w:rsidRPr="00711CEC">
        <w:rPr>
          <w:color w:val="0000FF"/>
          <w:highlight w:val="yellow"/>
        </w:rPr>
        <w:t>OCGA § 19-7-2</w:t>
      </w:r>
      <w:r w:rsidRPr="00711CEC">
        <w:rPr>
          <w:highlight w:val="yellow"/>
        </w:rPr>
        <w:fldChar w:fldCharType="end"/>
      </w:r>
      <w:commentRangeEnd w:id="17"/>
      <w:r w:rsidR="004D636E">
        <w:rPr>
          <w:rStyle w:val="CommentReference"/>
        </w:rPr>
        <w:commentReference w:id="17"/>
      </w:r>
      <w:r w:rsidRPr="00711CEC">
        <w:rPr>
          <w:highlight w:val="yellow"/>
        </w:rPr>
        <w:t xml:space="preserve">. Likewise, if Wright had formally adopted Newman’s son, he would be legally obligated to provide support. </w:t>
      </w:r>
      <w:hyperlink r:id="rId43" w:history="1">
        <w:r w:rsidRPr="00711CEC">
          <w:rPr>
            <w:color w:val="0000FF"/>
            <w:highlight w:val="yellow"/>
          </w:rPr>
          <w:t>OCGA § 19-8-19(a)(2)</w:t>
        </w:r>
      </w:hyperlink>
      <w:r w:rsidRPr="00711CEC">
        <w:rPr>
          <w:highlight w:val="yellow"/>
        </w:rPr>
        <w:t xml:space="preserve">. However, Wright is neither the natural nor the formally adoptive father of the child and “the theory of ‘virtual adoption’ is not applicable to a dispute as to who is legally responsible for the support of minor children.” </w:t>
      </w:r>
      <w:commentRangeStart w:id="18"/>
      <w:r w:rsidRPr="00711CEC">
        <w:rPr>
          <w:highlight w:val="yellow"/>
        </w:rPr>
        <w:fldChar w:fldCharType="begin"/>
      </w:r>
      <w:r w:rsidRPr="00711CEC">
        <w:rPr>
          <w:highlight w:val="yellow"/>
        </w:rPr>
        <w:instrText xml:space="preserve">HYPERLINK "http://www.westlaw.com/Link/Document/FullText?findType=Y&amp;serNum=1978110162&amp;pubNum=711&amp;originatingDoc=I731368c5038011dabf60c1d57ebc853e&amp;refType=RP&amp;originationContext=document&amp;vr=3.0&amp;rs=cblt1.0&amp;transitionType=DocumentItem&amp;contextData=(sc.UserEnteredCitation)" </w:instrText>
      </w:r>
      <w:r w:rsidRPr="00711CEC">
        <w:rPr>
          <w:highlight w:val="yellow"/>
        </w:rPr>
        <w:fldChar w:fldCharType="separate"/>
      </w:r>
      <w:r w:rsidRPr="00711CEC">
        <w:rPr>
          <w:i/>
          <w:iCs/>
          <w:color w:val="0000FF"/>
          <w:highlight w:val="yellow"/>
        </w:rPr>
        <w:t>Ellison v. Thompson,</w:t>
      </w:r>
      <w:r w:rsidRPr="00711CEC">
        <w:rPr>
          <w:color w:val="0000FF"/>
          <w:highlight w:val="yellow"/>
        </w:rPr>
        <w:t xml:space="preserve"> 240 Ga. 594, 596, 242 S.E.2d 95 (1978)</w:t>
      </w:r>
      <w:r w:rsidRPr="00711CEC">
        <w:rPr>
          <w:highlight w:val="yellow"/>
        </w:rPr>
        <w:fldChar w:fldCharType="end"/>
      </w:r>
      <w:commentRangeEnd w:id="18"/>
      <w:r w:rsidR="00711CEC">
        <w:rPr>
          <w:rStyle w:val="CommentReference"/>
        </w:rPr>
        <w:commentReference w:id="18"/>
      </w:r>
      <w:r>
        <w:t>.</w:t>
      </w:r>
    </w:p>
    <w:p w14:paraId="13CC9433" w14:textId="77777777" w:rsidR="00B064AA" w:rsidRDefault="00B064AA" w:rsidP="00035A7E">
      <w:r>
        <w:t> </w:t>
      </w:r>
    </w:p>
    <w:p w14:paraId="2A5E290B" w14:textId="77777777" w:rsidR="00B064AA" w:rsidRDefault="0078463D" w:rsidP="00035A7E">
      <w:hyperlink w:anchor="co_anchor_F11996062961_1" w:history="1">
        <w:r w:rsidR="00B064AA" w:rsidRPr="005905D6">
          <w:rPr>
            <w:b/>
            <w:bCs/>
            <w:color w:val="252525"/>
            <w:highlight w:val="yellow"/>
            <w:vertAlign w:val="superscript"/>
          </w:rPr>
          <w:t>[1]</w:t>
        </w:r>
      </w:hyperlink>
      <w:bookmarkStart w:id="19" w:name="co_anchor_B11996062961_1"/>
      <w:bookmarkEnd w:id="19"/>
      <w:r w:rsidR="00B064AA" w:rsidRPr="005905D6">
        <w:rPr>
          <w:highlight w:val="yellow"/>
        </w:rPr>
        <w:t xml:space="preserve"> Although Wright is neither the natural nor the formally adoptive father of Newman’s son and the theory of “virtual adoption” is inapplicable, it does not necessarily follow that, as a matter of law, he has no legal obligation for child support. A number of jurisdictions have recognized that a legally enforceable obligation to provide child support can be “based upon parentage </w:t>
      </w:r>
      <w:r w:rsidR="00B064AA" w:rsidRPr="005905D6">
        <w:rPr>
          <w:i/>
          <w:iCs/>
          <w:highlight w:val="yellow"/>
        </w:rPr>
        <w:t>or</w:t>
      </w:r>
      <w:r w:rsidR="00B064AA" w:rsidRPr="005905D6">
        <w:rPr>
          <w:highlight w:val="yellow"/>
        </w:rPr>
        <w:t xml:space="preserve"> contract....” (Emphasis supplied.) </w:t>
      </w:r>
      <w:hyperlink r:id="rId44" w:anchor="co_pp_sp_735_819" w:history="1">
        <w:r w:rsidR="00B064AA" w:rsidRPr="005905D6">
          <w:rPr>
            <w:i/>
            <w:iCs/>
            <w:color w:val="0000FF"/>
            <w:highlight w:val="yellow"/>
          </w:rPr>
          <w:t>Albert v. Albert,</w:t>
        </w:r>
        <w:r w:rsidR="00B064AA" w:rsidRPr="005905D6">
          <w:rPr>
            <w:color w:val="0000FF"/>
            <w:highlight w:val="yellow"/>
          </w:rPr>
          <w:t xml:space="preserve"> 415 So.2d 818, 819 (Fla.App.1982)</w:t>
        </w:r>
      </w:hyperlink>
      <w:r w:rsidR="00B064AA" w:rsidRPr="005905D6">
        <w:rPr>
          <w:highlight w:val="yellow"/>
        </w:rPr>
        <w:t xml:space="preserve">. See also Anno., </w:t>
      </w:r>
      <w:hyperlink r:id="rId45" w:history="1">
        <w:r w:rsidR="00B064AA" w:rsidRPr="005905D6">
          <w:rPr>
            <w:color w:val="0000FF"/>
            <w:highlight w:val="yellow"/>
          </w:rPr>
          <w:t>90 A.L.R.2d 583 (1963)</w:t>
        </w:r>
      </w:hyperlink>
      <w:r w:rsidR="00B064AA" w:rsidRPr="005905D6">
        <w:rPr>
          <w:highlight w:val="yellow"/>
        </w:rPr>
        <w:t xml:space="preserve">. Georgia is included among those jurisdictions. </w:t>
      </w:r>
      <w:hyperlink r:id="rId46" w:history="1">
        <w:r w:rsidR="00B064AA" w:rsidRPr="005905D6">
          <w:rPr>
            <w:i/>
            <w:iCs/>
            <w:color w:val="0000FF"/>
            <w:highlight w:val="yellow"/>
          </w:rPr>
          <w:t>Foltz v. Foltz,</w:t>
        </w:r>
        <w:r w:rsidR="00B064AA" w:rsidRPr="005905D6">
          <w:rPr>
            <w:color w:val="0000FF"/>
            <w:highlight w:val="yellow"/>
          </w:rPr>
          <w:t xml:space="preserve"> 238 Ga. 193, 194, 232 S.E.2d 66 (1977)</w:t>
        </w:r>
      </w:hyperlink>
      <w:r w:rsidR="00B064AA" w:rsidRPr="005905D6">
        <w:rPr>
          <w:highlight w:val="yellow"/>
        </w:rPr>
        <w:t xml:space="preserve">. Accordingly, the issue for resolution is whether Wright can be held liable for child support for Newman’s son under this state’s contract </w:t>
      </w:r>
      <w:commentRangeStart w:id="20"/>
      <w:r w:rsidR="00B064AA" w:rsidRPr="005905D6">
        <w:rPr>
          <w:highlight w:val="yellow"/>
        </w:rPr>
        <w:t>law</w:t>
      </w:r>
      <w:commentRangeEnd w:id="20"/>
      <w:r w:rsidR="005905D6">
        <w:rPr>
          <w:rStyle w:val="CommentReference"/>
        </w:rPr>
        <w:commentReference w:id="20"/>
      </w:r>
      <w:r w:rsidR="00B064AA" w:rsidRPr="005905D6">
        <w:rPr>
          <w:highlight w:val="yellow"/>
        </w:rPr>
        <w:t>.</w:t>
      </w:r>
    </w:p>
    <w:p w14:paraId="79594D87" w14:textId="77777777" w:rsidR="00B064AA" w:rsidRDefault="00B064AA" w:rsidP="00035A7E">
      <w:r>
        <w:t> </w:t>
      </w:r>
    </w:p>
    <w:p w14:paraId="72003FA2" w14:textId="77777777" w:rsidR="00B064AA" w:rsidRDefault="0078463D" w:rsidP="00035A7E">
      <w:hyperlink w:anchor="co_anchor_F21996062961_1" w:history="1">
        <w:r w:rsidR="00B064AA">
          <w:rPr>
            <w:b/>
            <w:bCs/>
            <w:color w:val="252525"/>
            <w:vertAlign w:val="superscript"/>
          </w:rPr>
          <w:t>[2]</w:t>
        </w:r>
      </w:hyperlink>
      <w:bookmarkStart w:id="21" w:name="co_anchor_B21996062961_1"/>
      <w:bookmarkEnd w:id="21"/>
      <w:r w:rsidR="00B064AA">
        <w:t xml:space="preserve"> </w:t>
      </w:r>
      <w:bookmarkStart w:id="22" w:name="co_pp_sp_359_520_1"/>
      <w:bookmarkEnd w:id="22"/>
      <w:r w:rsidR="00B064AA">
        <w:rPr>
          <w:b/>
          <w:bCs/>
        </w:rPr>
        <w:t>*520</w:t>
      </w:r>
      <w:r w:rsidR="00B064AA">
        <w:t xml:space="preserve"> </w:t>
      </w:r>
      <w:r w:rsidR="00B064AA" w:rsidRPr="00DB0669">
        <w:rPr>
          <w:highlight w:val="yellow"/>
        </w:rPr>
        <w:t xml:space="preserve">There was no formal written contract whereby Wright agreed to support Newman’s </w:t>
      </w:r>
      <w:commentRangeStart w:id="23"/>
      <w:r w:rsidR="00B064AA" w:rsidRPr="00DB0669">
        <w:rPr>
          <w:highlight w:val="yellow"/>
        </w:rPr>
        <w:t>son</w:t>
      </w:r>
      <w:commentRangeEnd w:id="23"/>
      <w:r w:rsidR="00DB0669">
        <w:rPr>
          <w:rStyle w:val="CommentReference"/>
        </w:rPr>
        <w:commentReference w:id="23"/>
      </w:r>
      <w:r w:rsidR="00B064AA" w:rsidRPr="00DB0669">
        <w:rPr>
          <w:highlight w:val="yellow"/>
        </w:rPr>
        <w:t>.</w:t>
      </w:r>
      <w:r w:rsidR="00B064AA">
        <w:t xml:space="preserve"> Compare </w:t>
      </w:r>
      <w:hyperlink r:id="rId47" w:history="1">
        <w:r w:rsidR="00B064AA">
          <w:rPr>
            <w:i/>
            <w:iCs/>
            <w:color w:val="0000FF"/>
          </w:rPr>
          <w:t>Foltz v. Foltz,</w:t>
        </w:r>
        <w:r w:rsidR="00B064AA">
          <w:rPr>
            <w:color w:val="0000FF"/>
          </w:rPr>
          <w:t xml:space="preserve"> supra.</w:t>
        </w:r>
      </w:hyperlink>
      <w:r w:rsidR="00B064AA">
        <w:t xml:space="preserve"> Nevertheless, under this state’s contract law,</w:t>
      </w:r>
    </w:p>
    <w:p w14:paraId="0E9612FB" w14:textId="77777777" w:rsidR="00B064AA" w:rsidRDefault="00B064AA" w:rsidP="00035A7E">
      <w:r w:rsidRPr="00A14919">
        <w:rPr>
          <w:highlight w:val="yellow"/>
        </w:rPr>
        <w:t xml:space="preserve">[a]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w:t>
      </w:r>
      <w:commentRangeStart w:id="24"/>
      <w:r w:rsidRPr="00A14919">
        <w:rPr>
          <w:highlight w:val="yellow"/>
        </w:rPr>
        <w:t>requires</w:t>
      </w:r>
      <w:commentRangeEnd w:id="24"/>
      <w:r w:rsidR="00A14919">
        <w:rPr>
          <w:rStyle w:val="CommentReference"/>
        </w:rPr>
        <w:commentReference w:id="24"/>
      </w:r>
      <w:r w:rsidRPr="00A14919">
        <w:rPr>
          <w:highlight w:val="yellow"/>
        </w:rPr>
        <w:t>.</w:t>
      </w:r>
    </w:p>
    <w:p w14:paraId="2E62D4AB" w14:textId="77777777" w:rsidR="00B064AA" w:rsidRDefault="0078463D" w:rsidP="00035A7E">
      <w:hyperlink r:id="rId48" w:history="1">
        <w:r w:rsidR="00B064AA">
          <w:rPr>
            <w:color w:val="0000FF"/>
          </w:rPr>
          <w:t>OCGA § 13-3-44(a)</w:t>
        </w:r>
      </w:hyperlink>
      <w:r w:rsidR="00B064AA">
        <w:t xml:space="preserve">. This statute codifies the principle of promissory estoppel. </w:t>
      </w:r>
      <w:hyperlink r:id="rId49" w:history="1">
        <w:r w:rsidR="00B064AA">
          <w:rPr>
            <w:i/>
            <w:iCs/>
            <w:color w:val="0000FF"/>
          </w:rPr>
          <w:t>Insilco Corp. v. First Nat. Bank of Dalton,</w:t>
        </w:r>
        <w:r w:rsidR="00B064AA">
          <w:rPr>
            <w:color w:val="0000FF"/>
          </w:rPr>
          <w:t xml:space="preserve"> 248 Ga. 322(1), 283 S.E.2d 262 (1981)</w:t>
        </w:r>
      </w:hyperlink>
      <w:r w:rsidR="00B064AA">
        <w:t>. In accordance with that principle,</w:t>
      </w:r>
    </w:p>
    <w:p w14:paraId="2085616A" w14:textId="77777777" w:rsidR="00B064AA" w:rsidRDefault="00B064AA" w:rsidP="00035A7E">
      <w:r w:rsidRPr="00A14919">
        <w:rPr>
          <w:highlight w:val="yellow"/>
        </w:rPr>
        <w:t>“[a] party may enter into a contract invalid and unenforceable, and by reason of the covenants therein contained and promises made in connection with the same, wrongfully cause the opposite party to forego a valuable legal right to his detriment, and in this manner by his conduct waive the right to repudiate the contract and become estopped to deny the opposite party any benefits that may accrue to him under the terms of the agreement.” [</w:t>
      </w:r>
      <w:commentRangeStart w:id="25"/>
      <w:proofErr w:type="spellStart"/>
      <w:r w:rsidRPr="00A14919">
        <w:rPr>
          <w:highlight w:val="yellow"/>
        </w:rPr>
        <w:t>Cits</w:t>
      </w:r>
      <w:commentRangeEnd w:id="25"/>
      <w:proofErr w:type="spellEnd"/>
      <w:r w:rsidR="00A14919">
        <w:rPr>
          <w:rStyle w:val="CommentReference"/>
        </w:rPr>
        <w:commentReference w:id="25"/>
      </w:r>
      <w:r w:rsidRPr="00A14919">
        <w:rPr>
          <w:highlight w:val="yellow"/>
        </w:rPr>
        <w:t>.]</w:t>
      </w:r>
    </w:p>
    <w:p w14:paraId="37F6E950" w14:textId="77777777" w:rsidR="00B064AA" w:rsidRDefault="0078463D" w:rsidP="00035A7E">
      <w:hyperlink r:id="rId50" w:history="1">
        <w:r w:rsidR="00B064AA">
          <w:rPr>
            <w:i/>
            <w:iCs/>
            <w:color w:val="0000FF"/>
          </w:rPr>
          <w:t>Pepsi Cola Bottling Co. of Dothan, Ala., Inc. v. First Nat. Bank of Columbus,</w:t>
        </w:r>
        <w:r w:rsidR="00B064AA">
          <w:rPr>
            <w:color w:val="0000FF"/>
          </w:rPr>
          <w:t xml:space="preserve"> 248 Ga. 114, 116-117(2), 281 S.E.2d 579 (1981)</w:t>
        </w:r>
      </w:hyperlink>
      <w:r w:rsidR="00B064AA">
        <w:t>.</w:t>
      </w:r>
    </w:p>
    <w:p w14:paraId="166178AF" w14:textId="77777777" w:rsidR="00B064AA" w:rsidRDefault="00B064AA" w:rsidP="00035A7E">
      <w:r>
        <w:t> </w:t>
      </w:r>
    </w:p>
    <w:p w14:paraId="345F8427" w14:textId="77777777" w:rsidR="00B064AA" w:rsidRPr="00340B06" w:rsidRDefault="00B064AA" w:rsidP="00035A7E">
      <w:pPr>
        <w:rPr>
          <w:color w:val="000000"/>
        </w:rPr>
      </w:pPr>
      <w:bookmarkStart w:id="26" w:name="co_pp_sp_711_535_1"/>
      <w:bookmarkEnd w:id="26"/>
      <w:r w:rsidRPr="00340B06">
        <w:rPr>
          <w:b/>
          <w:bCs/>
          <w:color w:val="000000"/>
        </w:rPr>
        <w:t>**535</w:t>
      </w:r>
      <w:r w:rsidRPr="00340B06">
        <w:rPr>
          <w:color w:val="000000"/>
        </w:rPr>
        <w:t xml:space="preserve"> </w:t>
      </w:r>
      <w:hyperlink w:anchor="co_anchor_F31996062961_1" w:history="1">
        <w:r w:rsidRPr="00340B06">
          <w:rPr>
            <w:b/>
            <w:bCs/>
            <w:color w:val="252525"/>
            <w:vertAlign w:val="superscript"/>
          </w:rPr>
          <w:t>[3]</w:t>
        </w:r>
      </w:hyperlink>
      <w:bookmarkStart w:id="27" w:name="co_anchor_B31996062961_1"/>
      <w:bookmarkEnd w:id="27"/>
      <w:r w:rsidRPr="00340B06">
        <w:rPr>
          <w:color w:val="000000"/>
        </w:rPr>
        <w:t xml:space="preserve"> The evidence authorizes the finding </w:t>
      </w:r>
      <w:commentRangeStart w:id="28"/>
      <w:r w:rsidRPr="00340B06">
        <w:rPr>
          <w:color w:val="000000"/>
        </w:rPr>
        <w:t>that</w:t>
      </w:r>
      <w:commentRangeEnd w:id="28"/>
      <w:r w:rsidR="00A14919" w:rsidRPr="00340B06">
        <w:rPr>
          <w:rStyle w:val="CommentReference"/>
        </w:rPr>
        <w:commentReference w:id="28"/>
      </w:r>
      <w:r w:rsidRPr="00340B06">
        <w:rPr>
          <w:color w:val="000000"/>
        </w:rPr>
        <w:t xml:space="preserve"> </w:t>
      </w:r>
      <w:r w:rsidRPr="00340B06">
        <w:t>Wright promised both Newman and her son that he would assume all of the obligations and responsibilities of fatherhood, including that of providing support.</w:t>
      </w:r>
      <w:r w:rsidRPr="00340B06">
        <w:rPr>
          <w:color w:val="000000"/>
        </w:rPr>
        <w:t xml:space="preserve"> As the trial court found, this promise was evidenced by Wright’s listing of himself as the father on the child’s birth certificate and giving the child his last name. Wright is presumed to know “the legal consequences of his actions. Since parents are legally obligated to support their minor children, [he] accepted this support obligation by acknowledging paternity.” </w:t>
      </w:r>
      <w:hyperlink r:id="rId51" w:anchor="co_pp_sp_735_12" w:history="1">
        <w:r w:rsidRPr="00340B06">
          <w:rPr>
            <w:i/>
            <w:iCs/>
            <w:color w:val="0000FF"/>
          </w:rPr>
          <w:t>Marshall v. Marshall,</w:t>
        </w:r>
        <w:r w:rsidRPr="00340B06">
          <w:rPr>
            <w:color w:val="0000FF"/>
          </w:rPr>
          <w:t xml:space="preserve"> 386 So.2d 11, 12 (Fla.App.1980)</w:t>
        </w:r>
      </w:hyperlink>
      <w:r w:rsidRPr="00340B06">
        <w:rPr>
          <w:color w:val="000000"/>
        </w:rPr>
        <w:t xml:space="preserve">. There is no dispute that, at the time he made his commitment, Wright knew that he was not the natural father of the child. Compare </w:t>
      </w:r>
      <w:hyperlink r:id="rId52" w:history="1">
        <w:r w:rsidRPr="00340B06">
          <w:rPr>
            <w:i/>
            <w:iCs/>
            <w:color w:val="0000FF"/>
          </w:rPr>
          <w:t>NPA v. WBA,</w:t>
        </w:r>
        <w:r w:rsidRPr="00340B06">
          <w:rPr>
            <w:color w:val="0000FF"/>
          </w:rPr>
          <w:t xml:space="preserve"> 8 </w:t>
        </w:r>
        <w:proofErr w:type="spellStart"/>
        <w:r w:rsidRPr="00340B06">
          <w:rPr>
            <w:color w:val="0000FF"/>
          </w:rPr>
          <w:t>Va.App</w:t>
        </w:r>
        <w:proofErr w:type="spellEnd"/>
        <w:r w:rsidRPr="00340B06">
          <w:rPr>
            <w:color w:val="0000FF"/>
          </w:rPr>
          <w:t>. 246, 380 S.E.2d 178 (1989)</w:t>
        </w:r>
      </w:hyperlink>
      <w:r w:rsidRPr="00340B06">
        <w:rPr>
          <w:color w:val="000000"/>
        </w:rPr>
        <w:t>. Thus, he undertook his commitment knowingly and voluntarily. Moreover, he continued to do so for some 10 years, holding himself out to others as the father of the child and allowing the child to consider him to be the natural father.</w:t>
      </w:r>
    </w:p>
    <w:p w14:paraId="4F5D96F2" w14:textId="77777777" w:rsidR="00B064AA" w:rsidRPr="00017B04" w:rsidRDefault="00B064AA" w:rsidP="00035A7E">
      <w:pPr>
        <w:rPr>
          <w:highlight w:val="lightGray"/>
        </w:rPr>
      </w:pPr>
      <w:r w:rsidRPr="00017B04">
        <w:rPr>
          <w:highlight w:val="lightGray"/>
        </w:rPr>
        <w:t> </w:t>
      </w:r>
    </w:p>
    <w:p w14:paraId="5474A664" w14:textId="77777777" w:rsidR="00B064AA" w:rsidRDefault="00B064AA" w:rsidP="00035A7E">
      <w:r w:rsidRPr="00340B06">
        <w:t xml:space="preserve">The evidence further authorizes the finding that Newman and her son relied upon Wright’s promise to their detriment. As the trial court found, Newman refrained from identifying and seeking support from the child’s natural father. Had Newman not refrained from doing </w:t>
      </w:r>
      <w:bookmarkStart w:id="29" w:name="co_pp_sp_359_521_1"/>
      <w:bookmarkEnd w:id="29"/>
      <w:r w:rsidRPr="00340B06">
        <w:rPr>
          <w:b/>
          <w:bCs/>
        </w:rPr>
        <w:t>*521</w:t>
      </w:r>
      <w:r w:rsidRPr="00340B06">
        <w:t xml:space="preserve"> so, she might now have a source of financial support for the child and the child might now have a natural father who provided emotional, as well as financial, support. If, after 10 years of honoring his voluntary commitment, Wright were now allowed to evade the consequences of his promise, an injustice to Newman and her son would result. Under the evidence, the duty to support which Wright voluntarily assumed 10 years ago remains enforceable under the contractual doctrine of promissory estoppel and the trial court’s order which compels Wright to discharge that obligation must be affirmed. </w:t>
      </w:r>
      <w:commentRangeStart w:id="30"/>
      <w:r w:rsidRPr="00340B06">
        <w:t>See</w:t>
      </w:r>
      <w:commentRangeEnd w:id="30"/>
      <w:r w:rsidR="00017B04" w:rsidRPr="00340B06">
        <w:rPr>
          <w:rStyle w:val="CommentReference"/>
        </w:rPr>
        <w:commentReference w:id="30"/>
      </w:r>
      <w:r w:rsidRPr="00340B06">
        <w:t xml:space="preserve"> </w:t>
      </w:r>
      <w:hyperlink r:id="rId53" w:history="1">
        <w:r w:rsidRPr="00340B06">
          <w:rPr>
            <w:i/>
            <w:iCs/>
            <w:color w:val="0000FF"/>
          </w:rPr>
          <w:t>Nygard v. Nygard,</w:t>
        </w:r>
        <w:r w:rsidRPr="00340B06">
          <w:rPr>
            <w:color w:val="0000FF"/>
          </w:rPr>
          <w:t xml:space="preserve"> 156 </w:t>
        </w:r>
        <w:proofErr w:type="spellStart"/>
        <w:r w:rsidRPr="00340B06">
          <w:rPr>
            <w:color w:val="0000FF"/>
          </w:rPr>
          <w:t>Mich.App</w:t>
        </w:r>
        <w:proofErr w:type="spellEnd"/>
        <w:r w:rsidRPr="00340B06">
          <w:rPr>
            <w:color w:val="0000FF"/>
          </w:rPr>
          <w:t>. 94, 401 N.W.2d 323 (1986)</w:t>
        </w:r>
      </w:hyperlink>
      <w:r w:rsidRPr="00340B06">
        <w:t xml:space="preserve">; </w:t>
      </w:r>
      <w:hyperlink r:id="rId54" w:history="1">
        <w:r w:rsidRPr="00340B06">
          <w:rPr>
            <w:i/>
            <w:iCs/>
            <w:color w:val="0000FF"/>
          </w:rPr>
          <w:t>Marshall v. Marshall,</w:t>
        </w:r>
        <w:r w:rsidRPr="00340B06">
          <w:rPr>
            <w:color w:val="0000FF"/>
          </w:rPr>
          <w:t xml:space="preserve"> supra;</w:t>
        </w:r>
      </w:hyperlink>
      <w:r w:rsidRPr="00340B06">
        <w:t xml:space="preserve"> </w:t>
      </w:r>
      <w:hyperlink r:id="rId55" w:history="1">
        <w:r w:rsidRPr="00340B06">
          <w:rPr>
            <w:i/>
            <w:iCs/>
            <w:color w:val="0000FF"/>
          </w:rPr>
          <w:t>In re Marriage of Johnson,</w:t>
        </w:r>
        <w:r w:rsidRPr="00340B06">
          <w:rPr>
            <w:color w:val="0000FF"/>
          </w:rPr>
          <w:t xml:space="preserve"> 88 Cal.App.3d 848, 152 </w:t>
        </w:r>
        <w:proofErr w:type="spellStart"/>
        <w:r w:rsidRPr="00340B06">
          <w:rPr>
            <w:color w:val="0000FF"/>
          </w:rPr>
          <w:t>Cal.Rptr</w:t>
        </w:r>
        <w:proofErr w:type="spellEnd"/>
        <w:r w:rsidRPr="00340B06">
          <w:rPr>
            <w:color w:val="0000FF"/>
          </w:rPr>
          <w:t>. 121 (1979)</w:t>
        </w:r>
      </w:hyperlink>
      <w:r w:rsidRPr="00340B06">
        <w:t xml:space="preserve">; </w:t>
      </w:r>
      <w:hyperlink r:id="rId56" w:history="1">
        <w:r w:rsidRPr="00340B06">
          <w:rPr>
            <w:i/>
            <w:iCs/>
            <w:color w:val="0000FF"/>
          </w:rPr>
          <w:t>Hartford v. Hartford,</w:t>
        </w:r>
        <w:r w:rsidRPr="00340B06">
          <w:rPr>
            <w:color w:val="0000FF"/>
          </w:rPr>
          <w:t xml:space="preserve"> 53 Ohio App.2d 79, 7 O.O.3d 53, 371 N.E.2d 591 (1977)</w:t>
        </w:r>
      </w:hyperlink>
      <w:r w:rsidRPr="00340B06">
        <w:t>.</w:t>
      </w:r>
    </w:p>
    <w:p w14:paraId="1A203A6C" w14:textId="77777777" w:rsidR="00B064AA" w:rsidRDefault="00B064AA" w:rsidP="00035A7E">
      <w:r>
        <w:t> </w:t>
      </w:r>
    </w:p>
    <w:p w14:paraId="616E10E2" w14:textId="77777777" w:rsidR="00B064AA" w:rsidRDefault="00B064AA" w:rsidP="00035A7E">
      <w:r>
        <w:t>Judgment affirmed.</w:t>
      </w:r>
    </w:p>
    <w:p w14:paraId="568A8B29" w14:textId="77777777" w:rsidR="00B064AA" w:rsidRDefault="00B064AA" w:rsidP="00035A7E">
      <w:r>
        <w:t> </w:t>
      </w:r>
    </w:p>
    <w:p w14:paraId="1C0994AA" w14:textId="77777777" w:rsidR="00B064AA" w:rsidRDefault="00B064AA" w:rsidP="00035A7E">
      <w:r>
        <w:t xml:space="preserve">All the Justices concur, except </w:t>
      </w:r>
      <w:hyperlink r:id="rId57" w:history="1">
        <w:r>
          <w:rPr>
            <w:color w:val="0000FF"/>
          </w:rPr>
          <w:t>BENHAM</w:t>
        </w:r>
      </w:hyperlink>
      <w:r>
        <w:t>, C.J., who dissents.</w:t>
      </w:r>
    </w:p>
    <w:p w14:paraId="3698FF65" w14:textId="77777777" w:rsidR="00B064AA" w:rsidRDefault="0078463D" w:rsidP="00035A7E">
      <w:hyperlink r:id="rId58" w:history="1">
        <w:r w:rsidR="00B064AA">
          <w:rPr>
            <w:color w:val="0000FF"/>
          </w:rPr>
          <w:t>SEARS</w:t>
        </w:r>
      </w:hyperlink>
      <w:r w:rsidR="00B064AA">
        <w:t>, Justice, concurring.</w:t>
      </w:r>
    </w:p>
    <w:p w14:paraId="268AA407" w14:textId="77777777" w:rsidR="00B064AA" w:rsidRDefault="00B064AA" w:rsidP="00035A7E">
      <w:bookmarkStart w:id="31" w:name="co_anchor_Ibd0c838f562f11e08b05fdf15589d"/>
      <w:bookmarkEnd w:id="31"/>
    </w:p>
    <w:p w14:paraId="2FC36E52" w14:textId="77777777" w:rsidR="00B064AA" w:rsidRDefault="00B064AA" w:rsidP="00035A7E">
      <w:r>
        <w:t xml:space="preserve">I concur fully with the majority opinion. I write separately only to address the </w:t>
      </w:r>
      <w:r w:rsidRPr="007E44FC">
        <w:rPr>
          <w:highlight w:val="yellow"/>
        </w:rPr>
        <w:t xml:space="preserve">dissenting opinion’s misperception that Newman has not relied upon Wright’s promise to her </w:t>
      </w:r>
      <w:commentRangeStart w:id="32"/>
      <w:r w:rsidRPr="007E44FC">
        <w:rPr>
          <w:highlight w:val="yellow"/>
        </w:rPr>
        <w:t>detriment</w:t>
      </w:r>
      <w:commentRangeEnd w:id="32"/>
      <w:r w:rsidR="007E44FC">
        <w:rPr>
          <w:rStyle w:val="CommentReference"/>
        </w:rPr>
        <w:commentReference w:id="32"/>
      </w:r>
      <w:r w:rsidRPr="007E44FC">
        <w:rPr>
          <w:highlight w:val="yellow"/>
        </w:rPr>
        <w:t>.</w:t>
      </w:r>
    </w:p>
    <w:p w14:paraId="776C0818" w14:textId="77777777" w:rsidR="00B064AA" w:rsidRDefault="00B064AA" w:rsidP="00035A7E">
      <w:r>
        <w:t> </w:t>
      </w:r>
    </w:p>
    <w:p w14:paraId="067F656D" w14:textId="77777777" w:rsidR="00B064AA" w:rsidRDefault="00B064AA" w:rsidP="00035A7E">
      <w:pPr>
        <w:rPr>
          <w:sz w:val="16"/>
          <w:szCs w:val="16"/>
        </w:rPr>
      </w:pPr>
      <w:r w:rsidRPr="00C842A5">
        <w:rPr>
          <w:highlight w:val="yellow"/>
        </w:rPr>
        <w:t xml:space="preserve">It is an established principle in Georgia that a promise which the promisor should reasonably expect to induce action or forbearance on the part of the promisee or a third person and which does induce such action or forbearance is binding if injustice can be avoided only by enforcement of the </w:t>
      </w:r>
      <w:commentRangeStart w:id="33"/>
      <w:r w:rsidRPr="00C842A5">
        <w:rPr>
          <w:highlight w:val="yellow"/>
        </w:rPr>
        <w:t>promise</w:t>
      </w:r>
      <w:commentRangeEnd w:id="33"/>
      <w:r w:rsidR="00C842A5">
        <w:rPr>
          <w:rStyle w:val="CommentReference"/>
        </w:rPr>
        <w:commentReference w:id="33"/>
      </w:r>
      <w:r>
        <w:t>.</w:t>
      </w:r>
      <w:bookmarkStart w:id="34" w:name="co_footnoteReference_B00111996062961_ID0"/>
      <w:bookmarkEnd w:id="34"/>
      <w:r>
        <w:rPr>
          <w:sz w:val="16"/>
          <w:szCs w:val="16"/>
        </w:rPr>
        <w:fldChar w:fldCharType="begin"/>
      </w:r>
      <w:r>
        <w:rPr>
          <w:sz w:val="16"/>
          <w:szCs w:val="16"/>
        </w:rPr>
        <w:instrText xml:space="preserve">HYPERLINK "#co_footnote_B00111996062961_1" </w:instrText>
      </w:r>
      <w:r>
        <w:rPr>
          <w:sz w:val="16"/>
          <w:szCs w:val="16"/>
        </w:rPr>
        <w:fldChar w:fldCharType="separate"/>
      </w:r>
      <w:r>
        <w:rPr>
          <w:color w:val="0000FF"/>
          <w:sz w:val="16"/>
          <w:szCs w:val="16"/>
          <w:vertAlign w:val="superscript"/>
        </w:rPr>
        <w:t>1</w:t>
      </w:r>
      <w:r>
        <w:rPr>
          <w:sz w:val="16"/>
          <w:szCs w:val="16"/>
        </w:rPr>
        <w:fldChar w:fldCharType="end"/>
      </w:r>
      <w:r>
        <w:t xml:space="preserve"> This doctrine, known as “promissory estoppel,” prevents a promisor from reneging on a promise, when the promisor should have expected that the promisee would rely upon the promise, and the promisee does in fact rely upon the promise to her detriment.</w:t>
      </w:r>
      <w:bookmarkStart w:id="35" w:name="co_footnoteReference_B00221996062961_ID0"/>
      <w:bookmarkEnd w:id="35"/>
      <w:r>
        <w:rPr>
          <w:sz w:val="16"/>
          <w:szCs w:val="16"/>
        </w:rPr>
        <w:fldChar w:fldCharType="begin"/>
      </w:r>
      <w:r>
        <w:rPr>
          <w:sz w:val="16"/>
          <w:szCs w:val="16"/>
        </w:rPr>
        <w:instrText xml:space="preserve">HYPERLINK "#co_footnote_B00221996062961_1" </w:instrText>
      </w:r>
      <w:r>
        <w:rPr>
          <w:sz w:val="16"/>
          <w:szCs w:val="16"/>
        </w:rPr>
        <w:fldChar w:fldCharType="separate"/>
      </w:r>
      <w:r>
        <w:rPr>
          <w:color w:val="0000FF"/>
          <w:sz w:val="16"/>
          <w:szCs w:val="16"/>
          <w:vertAlign w:val="superscript"/>
        </w:rPr>
        <w:t>2</w:t>
      </w:r>
      <w:r>
        <w:rPr>
          <w:sz w:val="16"/>
          <w:szCs w:val="16"/>
        </w:rPr>
        <w:fldChar w:fldCharType="end"/>
      </w:r>
      <w:r>
        <w:t xml:space="preserve"> </w:t>
      </w:r>
      <w:r w:rsidRPr="00C842A5">
        <w:rPr>
          <w:highlight w:val="yellow"/>
        </w:rPr>
        <w:t xml:space="preserve">Sufficient consideration to enforce a contractual promise pursuant to promissory estoppel may be found in any benefit accruing to the promisor, or any reliance, loss, trouble, disadvantage, or charge imposed upon the </w:t>
      </w:r>
      <w:commentRangeStart w:id="36"/>
      <w:r w:rsidRPr="00C842A5">
        <w:rPr>
          <w:highlight w:val="yellow"/>
        </w:rPr>
        <w:t>promisee</w:t>
      </w:r>
      <w:commentRangeEnd w:id="36"/>
      <w:r w:rsidR="00C842A5">
        <w:rPr>
          <w:rStyle w:val="CommentReference"/>
        </w:rPr>
        <w:commentReference w:id="36"/>
      </w:r>
      <w:r>
        <w:t>.</w:t>
      </w:r>
      <w:bookmarkStart w:id="37" w:name="co_footnoteReference_B00331996062961_ID0"/>
      <w:bookmarkEnd w:id="37"/>
      <w:r>
        <w:rPr>
          <w:sz w:val="16"/>
          <w:szCs w:val="16"/>
        </w:rPr>
        <w:fldChar w:fldCharType="begin"/>
      </w:r>
      <w:r>
        <w:rPr>
          <w:sz w:val="16"/>
          <w:szCs w:val="16"/>
        </w:rPr>
        <w:instrText xml:space="preserve">HYPERLINK "#co_footnote_B00331996062961_1" </w:instrText>
      </w:r>
      <w:r>
        <w:rPr>
          <w:sz w:val="16"/>
          <w:szCs w:val="16"/>
        </w:rPr>
        <w:fldChar w:fldCharType="separate"/>
      </w:r>
      <w:r>
        <w:rPr>
          <w:color w:val="0000FF"/>
          <w:sz w:val="16"/>
          <w:szCs w:val="16"/>
          <w:vertAlign w:val="superscript"/>
        </w:rPr>
        <w:t>3</w:t>
      </w:r>
      <w:r>
        <w:rPr>
          <w:sz w:val="16"/>
          <w:szCs w:val="16"/>
        </w:rPr>
        <w:fldChar w:fldCharType="end"/>
      </w:r>
    </w:p>
    <w:p w14:paraId="6062BEDE" w14:textId="77777777" w:rsidR="00B064AA" w:rsidRDefault="00B064AA" w:rsidP="00035A7E">
      <w:r>
        <w:t> </w:t>
      </w:r>
    </w:p>
    <w:p w14:paraId="4741344C" w14:textId="77777777" w:rsidR="00B064AA" w:rsidRDefault="00B064AA" w:rsidP="00035A7E">
      <w:r>
        <w:t xml:space="preserve">Bearing these principles in mind, and as explained very well in the majority opinion, </w:t>
      </w:r>
      <w:r w:rsidRPr="00C842A5">
        <w:rPr>
          <w:highlight w:val="yellow"/>
        </w:rPr>
        <w:t xml:space="preserve">it is clear that Wright’s commitment to Newman to assume the obligations of fatherhood as regards her son are enforceable. Specifically, it is abundantly clear that Wright should have known that Newman would rely upon his promise, especially after he undertook for ten years to fulfill the obligations of fatherhood. In this regard, it could hardly </w:t>
      </w:r>
      <w:bookmarkStart w:id="38" w:name="co_pp_sp_711_536_1"/>
      <w:bookmarkEnd w:id="38"/>
      <w:r w:rsidRPr="00C842A5">
        <w:rPr>
          <w:b/>
          <w:bCs/>
          <w:highlight w:val="yellow"/>
        </w:rPr>
        <w:t>**536</w:t>
      </w:r>
      <w:r w:rsidRPr="00C842A5">
        <w:rPr>
          <w:highlight w:val="yellow"/>
        </w:rPr>
        <w:t xml:space="preserve"> have escaped Wright’s notice that Newman refrained from seeking to identify and obtain support from the </w:t>
      </w:r>
      <w:bookmarkStart w:id="39" w:name="co_pp_sp_359_522_1"/>
      <w:bookmarkEnd w:id="39"/>
      <w:r w:rsidRPr="00C842A5">
        <w:rPr>
          <w:b/>
          <w:bCs/>
          <w:highlight w:val="yellow"/>
        </w:rPr>
        <w:t>*522</w:t>
      </w:r>
      <w:r w:rsidRPr="00C842A5">
        <w:rPr>
          <w:highlight w:val="yellow"/>
        </w:rPr>
        <w:t xml:space="preserve"> child’s biological father while Wright was fulfilling his commitment to her. Moreover, Newman did in fact rely upon Wright’s promise, to her detriment when, ten years after he undertook the obligations of fatherhood, Wright reneged on his </w:t>
      </w:r>
      <w:commentRangeStart w:id="40"/>
      <w:r w:rsidRPr="00C842A5">
        <w:rPr>
          <w:highlight w:val="yellow"/>
        </w:rPr>
        <w:t>promise</w:t>
      </w:r>
      <w:commentRangeEnd w:id="40"/>
      <w:r w:rsidR="00C842A5">
        <w:rPr>
          <w:rStyle w:val="CommentReference"/>
        </w:rPr>
        <w:commentReference w:id="40"/>
      </w:r>
      <w:r w:rsidRPr="00C842A5">
        <w:rPr>
          <w:highlight w:val="yellow"/>
        </w:rPr>
        <w:t>.</w:t>
      </w:r>
    </w:p>
    <w:p w14:paraId="2B8025CC" w14:textId="77777777" w:rsidR="00B064AA" w:rsidRDefault="00B064AA" w:rsidP="00035A7E">
      <w:r>
        <w:t> </w:t>
      </w:r>
    </w:p>
    <w:p w14:paraId="6E36C2F2" w14:textId="77777777" w:rsidR="00B064AA" w:rsidRDefault="00B064AA" w:rsidP="00035A7E">
      <w:r>
        <w:t xml:space="preserve">Promissory estoppel requires only that the reliance by the injured party be </w:t>
      </w:r>
      <w:r>
        <w:rPr>
          <w:i/>
          <w:iCs/>
        </w:rPr>
        <w:t>reasonable.</w:t>
      </w:r>
      <w:bookmarkStart w:id="41" w:name="co_footnoteReference_B00441996062961_ID0"/>
      <w:bookmarkEnd w:id="41"/>
      <w:r>
        <w:rPr>
          <w:sz w:val="16"/>
          <w:szCs w:val="16"/>
        </w:rPr>
        <w:fldChar w:fldCharType="begin"/>
      </w:r>
      <w:r>
        <w:rPr>
          <w:sz w:val="16"/>
          <w:szCs w:val="16"/>
        </w:rPr>
        <w:instrText xml:space="preserve">HYPERLINK "#co_footnote_B00441996062961_1" </w:instrText>
      </w:r>
      <w:r>
        <w:rPr>
          <w:sz w:val="16"/>
          <w:szCs w:val="16"/>
        </w:rPr>
        <w:fldChar w:fldCharType="separate"/>
      </w:r>
      <w:r>
        <w:rPr>
          <w:color w:val="0000FF"/>
          <w:sz w:val="16"/>
          <w:szCs w:val="16"/>
          <w:vertAlign w:val="superscript"/>
        </w:rPr>
        <w:t>4</w:t>
      </w:r>
      <w:r>
        <w:rPr>
          <w:sz w:val="16"/>
          <w:szCs w:val="16"/>
        </w:rPr>
        <w:fldChar w:fldCharType="end"/>
      </w:r>
      <w:r>
        <w:t xml:space="preserve"> In this case, it cannot seriously be argued that Newman’s reliance was anything other than reasonable, as she had absolutely no indication that Wright would ever renege, especially after he fulfilled his promise for such a long time. Moreover, </w:t>
      </w:r>
      <w:r w:rsidRPr="00C842A5">
        <w:rPr>
          <w:highlight w:val="yellow"/>
        </w:rPr>
        <w:t xml:space="preserve">contrary to the dissent’s implicit assertion, promissory estoppel does not require that the injured party exhaust all other possible means of obtaining the benefit of the promise from any and all sources before being able to enforce the promise against the </w:t>
      </w:r>
      <w:commentRangeStart w:id="42"/>
      <w:r w:rsidRPr="00C842A5">
        <w:rPr>
          <w:highlight w:val="yellow"/>
        </w:rPr>
        <w:t>promisor</w:t>
      </w:r>
      <w:commentRangeEnd w:id="42"/>
      <w:r w:rsidR="00C842A5">
        <w:rPr>
          <w:rStyle w:val="CommentReference"/>
        </w:rPr>
        <w:commentReference w:id="42"/>
      </w:r>
      <w:r>
        <w:t xml:space="preserve">. In this regard, it is illogical to argue that Newman, after reasonably relying upon Wright’s promise for ten years, can now simply seek to determine the identity of the biological father and collect support from him. First, </w:t>
      </w:r>
      <w:r w:rsidRPr="00C842A5">
        <w:rPr>
          <w:highlight w:val="yellow"/>
        </w:rPr>
        <w:t xml:space="preserve">there is nothing in the case law that requires Newman to do so before being entitled to have Wright’s promise </w:t>
      </w:r>
      <w:commentRangeStart w:id="43"/>
      <w:r w:rsidRPr="00C842A5">
        <w:rPr>
          <w:highlight w:val="yellow"/>
        </w:rPr>
        <w:t>enforced</w:t>
      </w:r>
      <w:commentRangeEnd w:id="43"/>
      <w:r w:rsidR="00C842A5">
        <w:rPr>
          <w:rStyle w:val="CommentReference"/>
        </w:rPr>
        <w:commentReference w:id="43"/>
      </w:r>
      <w:r w:rsidRPr="00C842A5">
        <w:rPr>
          <w:highlight w:val="yellow"/>
        </w:rPr>
        <w:t>.</w:t>
      </w:r>
      <w:r>
        <w:t xml:space="preserve"> Second, this requirement would be an imposing, if not an impossible, burden, and would require Newman not only to identify the father (if possible), but also to locate him, bring a costly legal action against him, and to succeed in that action. Imposing this requirement would effectively penalize Newman for no reasons other than (1) her reasonable reliance upon a promise that was not kept, and (2) for allowing herself to be dissuaded by Wright from seeking the identity of the biological father. As noted, nowhere does the case law support imposing such a requirement, and none of the facts in this case support doing so now.</w:t>
      </w:r>
    </w:p>
    <w:p w14:paraId="45E1B4D3" w14:textId="77777777" w:rsidR="00B064AA" w:rsidRDefault="00B064AA" w:rsidP="00035A7E">
      <w:r>
        <w:t> </w:t>
      </w:r>
    </w:p>
    <w:p w14:paraId="7EE2E6AE" w14:textId="77777777" w:rsidR="00B064AA" w:rsidRDefault="00B064AA" w:rsidP="00035A7E">
      <w:pPr>
        <w:rPr>
          <w:sz w:val="16"/>
          <w:szCs w:val="16"/>
        </w:rPr>
      </w:pPr>
      <w:r w:rsidRPr="00C842A5">
        <w:rPr>
          <w:highlight w:val="yellow"/>
        </w:rPr>
        <w:t xml:space="preserve">Finally, there can be no doubt that, unless Wright’s promise to Newman is enforced, injustice will </w:t>
      </w:r>
      <w:commentRangeStart w:id="44"/>
      <w:r w:rsidRPr="00C842A5">
        <w:rPr>
          <w:highlight w:val="yellow"/>
        </w:rPr>
        <w:t>result</w:t>
      </w:r>
      <w:commentRangeEnd w:id="44"/>
      <w:r w:rsidR="00C842A5" w:rsidRPr="00C842A5">
        <w:rPr>
          <w:rStyle w:val="CommentReference"/>
          <w:highlight w:val="yellow"/>
        </w:rPr>
        <w:commentReference w:id="44"/>
      </w:r>
      <w:r w:rsidRPr="00C842A5">
        <w:rPr>
          <w:highlight w:val="yellow"/>
        </w:rPr>
        <w:t xml:space="preserve">. Given the approximately ten years that have passed since the child’s birth, during which time Wright, for all purposes, </w:t>
      </w:r>
      <w:r w:rsidRPr="00C842A5">
        <w:rPr>
          <w:i/>
          <w:iCs/>
          <w:highlight w:val="yellow"/>
        </w:rPr>
        <w:t>was</w:t>
      </w:r>
      <w:r w:rsidRPr="00C842A5">
        <w:rPr>
          <w:highlight w:val="yellow"/>
        </w:rPr>
        <w:t xml:space="preserve"> the child’s father, it likely will be impossible for Newman to establish the identity of the child’s biological father, bring a successful paternity action, and obtain support from that individual. Consequently, if Wright is allowed to renege on his obligation, Newman likely will not receive any support to assist in the cost of raising her son, despite having been promised the receipt of such by Wright. Furthermore, an even greater injustice will be inflicted upon the boy himself. A child who has been told by any adult, regardless of the existence of a biological relationship, that he will always be able to depend upon the adult for parenting and sustenance, will suffer a great deal when that commitment is broken. And </w:t>
      </w:r>
      <w:bookmarkStart w:id="45" w:name="co_pp_sp_359_523_1"/>
      <w:bookmarkEnd w:id="45"/>
      <w:r w:rsidRPr="00C842A5">
        <w:rPr>
          <w:b/>
          <w:bCs/>
          <w:highlight w:val="yellow"/>
        </w:rPr>
        <w:t>*523</w:t>
      </w:r>
      <w:r w:rsidRPr="00C842A5">
        <w:rPr>
          <w:highlight w:val="yellow"/>
        </w:rPr>
        <w:t xml:space="preserve"> when a child suffers under those circumstances, society-at-large suffers as well.</w:t>
      </w:r>
      <w:bookmarkStart w:id="46" w:name="co_footnoteReference_B00551996062961_ID0"/>
      <w:bookmarkEnd w:id="46"/>
      <w:commentRangeStart w:id="47"/>
      <w:r w:rsidRPr="00C842A5">
        <w:rPr>
          <w:sz w:val="16"/>
          <w:szCs w:val="16"/>
          <w:highlight w:val="yellow"/>
        </w:rPr>
        <w:fldChar w:fldCharType="begin"/>
      </w:r>
      <w:r w:rsidRPr="00C842A5">
        <w:rPr>
          <w:sz w:val="16"/>
          <w:szCs w:val="16"/>
          <w:highlight w:val="yellow"/>
        </w:rPr>
        <w:instrText xml:space="preserve">HYPERLINK "#co_footnote_B00551996062961_1" </w:instrText>
      </w:r>
      <w:r w:rsidRPr="00C842A5">
        <w:rPr>
          <w:sz w:val="16"/>
          <w:szCs w:val="16"/>
          <w:highlight w:val="yellow"/>
        </w:rPr>
        <w:fldChar w:fldCharType="separate"/>
      </w:r>
      <w:r w:rsidRPr="00C842A5">
        <w:rPr>
          <w:color w:val="0000FF"/>
          <w:sz w:val="16"/>
          <w:szCs w:val="16"/>
          <w:highlight w:val="yellow"/>
          <w:vertAlign w:val="superscript"/>
        </w:rPr>
        <w:t>5</w:t>
      </w:r>
      <w:r w:rsidRPr="00C842A5">
        <w:rPr>
          <w:sz w:val="16"/>
          <w:szCs w:val="16"/>
          <w:highlight w:val="yellow"/>
        </w:rPr>
        <w:fldChar w:fldCharType="end"/>
      </w:r>
      <w:commentRangeEnd w:id="47"/>
      <w:r w:rsidR="00C842A5">
        <w:rPr>
          <w:rStyle w:val="CommentReference"/>
        </w:rPr>
        <w:commentReference w:id="47"/>
      </w:r>
    </w:p>
    <w:p w14:paraId="61B88DDB" w14:textId="77777777" w:rsidR="00B064AA" w:rsidRDefault="00B064AA" w:rsidP="00035A7E">
      <w:r>
        <w:t> </w:t>
      </w:r>
    </w:p>
    <w:p w14:paraId="0026F316" w14:textId="77777777" w:rsidR="00B064AA" w:rsidRDefault="00B064AA" w:rsidP="00035A7E">
      <w:r>
        <w:t>Because Wright’s promise is capable of being enforced under the law, and because I believe that Wright’s promise must be enforced in order to prevent a grave miscarriage of justice, I concur fully in the majority opinion.</w:t>
      </w:r>
    </w:p>
    <w:p w14:paraId="71485560" w14:textId="77777777" w:rsidR="00B064AA" w:rsidRDefault="00B064AA" w:rsidP="00035A7E">
      <w:r>
        <w:t> </w:t>
      </w:r>
    </w:p>
    <w:p w14:paraId="7F004187" w14:textId="77777777" w:rsidR="00B064AA" w:rsidRDefault="0078463D" w:rsidP="00035A7E">
      <w:hyperlink r:id="rId59" w:history="1">
        <w:r w:rsidR="00B064AA">
          <w:rPr>
            <w:color w:val="0000FF"/>
          </w:rPr>
          <w:t>BENHAM</w:t>
        </w:r>
      </w:hyperlink>
      <w:r w:rsidR="00B064AA">
        <w:t>, Chief Justice, dissenting.</w:t>
      </w:r>
    </w:p>
    <w:p w14:paraId="47DED7CC" w14:textId="77777777" w:rsidR="00B064AA" w:rsidRDefault="00B064AA" w:rsidP="00035A7E">
      <w:bookmarkStart w:id="48" w:name="co_anchor_Ibd0c8394562f11e08b05fdf15589d"/>
      <w:bookmarkEnd w:id="48"/>
    </w:p>
    <w:p w14:paraId="4B097B69" w14:textId="77777777" w:rsidR="00B064AA" w:rsidRDefault="00B064AA" w:rsidP="00035A7E">
      <w:r>
        <w:t xml:space="preserve">I respectfully dissent. While I agree with the majority opinion’s statement that liability for child support may be based on promissory estoppel in a case where there is no statutory obligation or express contract, I first note that this issue was not brought by either of the parties. Further, there is a critical element that must be shown for promissory estoppel to apply. In addition to </w:t>
      </w:r>
      <w:bookmarkStart w:id="49" w:name="co_pp_sp_711_537_1"/>
      <w:bookmarkEnd w:id="49"/>
      <w:r>
        <w:rPr>
          <w:b/>
          <w:bCs/>
        </w:rPr>
        <w:t>**537</w:t>
      </w:r>
      <w:r>
        <w:t xml:space="preserve"> making a showing of expectation and reasonable reliance, a person asserting liability on the theory of promissory estoppel must show that she relied on the promise to her detriment. </w:t>
      </w:r>
      <w:hyperlink r:id="rId60" w:history="1">
        <w:r>
          <w:rPr>
            <w:i/>
            <w:iCs/>
            <w:color w:val="0000FF"/>
          </w:rPr>
          <w:t>Nickell v. IAG Federal Credit Union,</w:t>
        </w:r>
        <w:r>
          <w:rPr>
            <w:color w:val="0000FF"/>
          </w:rPr>
          <w:t xml:space="preserve"> 213 </w:t>
        </w:r>
        <w:proofErr w:type="spellStart"/>
        <w:r>
          <w:rPr>
            <w:color w:val="0000FF"/>
          </w:rPr>
          <w:t>Ga.App</w:t>
        </w:r>
        <w:proofErr w:type="spellEnd"/>
        <w:r>
          <w:rPr>
            <w:color w:val="0000FF"/>
          </w:rPr>
          <w:t>. 516, 445 S.E.2d 335 (1994)</w:t>
        </w:r>
      </w:hyperlink>
      <w:r>
        <w:t xml:space="preserve">; </w:t>
      </w:r>
      <w:hyperlink r:id="rId61" w:history="1">
        <w:r>
          <w:rPr>
            <w:i/>
            <w:iCs/>
            <w:color w:val="0000FF"/>
          </w:rPr>
          <w:t xml:space="preserve">Lake </w:t>
        </w:r>
        <w:proofErr w:type="spellStart"/>
        <w:r>
          <w:rPr>
            <w:i/>
            <w:iCs/>
            <w:color w:val="0000FF"/>
          </w:rPr>
          <w:t>Tightsqueeze</w:t>
        </w:r>
        <w:proofErr w:type="spellEnd"/>
        <w:r>
          <w:rPr>
            <w:i/>
            <w:iCs/>
            <w:color w:val="0000FF"/>
          </w:rPr>
          <w:t>, Inc. v. Chrysler First Financial Services Corp.,</w:t>
        </w:r>
        <w:r>
          <w:rPr>
            <w:color w:val="0000FF"/>
          </w:rPr>
          <w:t xml:space="preserve"> 210 </w:t>
        </w:r>
        <w:proofErr w:type="spellStart"/>
        <w:r>
          <w:rPr>
            <w:color w:val="0000FF"/>
          </w:rPr>
          <w:t>Ga.App</w:t>
        </w:r>
        <w:proofErr w:type="spellEnd"/>
        <w:r>
          <w:rPr>
            <w:color w:val="0000FF"/>
          </w:rPr>
          <w:t>. 178, 435 S.E.2d 486 (1993)</w:t>
        </w:r>
      </w:hyperlink>
      <w:r>
        <w:t xml:space="preserve">. The majority states that Newman and her son incurred detriment by refraining from identifying and seeking support from the child’s natural father. However, </w:t>
      </w:r>
      <w:r w:rsidRPr="00BA78DA">
        <w:rPr>
          <w:highlight w:val="yellow"/>
        </w:rPr>
        <w:t>the record is completely bereft of any evidence that Newman met her burden of proof as to promissory estoppel, and the majority fails to state how she is prevented from now instituting a child support action against the natural father.</w:t>
      </w:r>
      <w:r>
        <w:t xml:space="preserve"> Newman has not alleged, nor does the record reveal, that she does not know the identity of the natural father, nor does she show that the natural father is dead or unable to be found. Consequently, Newman has not shown that she is now unable to do what she would have had to do ten years ago-seek support from the natural father.</w:t>
      </w:r>
    </w:p>
    <w:p w14:paraId="45D03DDE" w14:textId="77777777" w:rsidR="00B064AA" w:rsidRDefault="00B064AA" w:rsidP="00035A7E">
      <w:r>
        <w:t> </w:t>
      </w:r>
    </w:p>
    <w:p w14:paraId="60E23581" w14:textId="77777777" w:rsidR="00B064AA" w:rsidRDefault="00B064AA" w:rsidP="00035A7E">
      <w:r>
        <w:t xml:space="preserve">In fact, Wright contends, and Newman does not refute, that Newman severed the relationship and all ties with Wright when the child was approximately three years old. For approximately the next five years, until the child was eight, Newman and Wright did not communicate. Only for the past two years has Wright visited with the child. Importantly, Wright contends that during the past seven years he did not support the child. Thus, taking Wright’s undisputed contentions </w:t>
      </w:r>
      <w:bookmarkStart w:id="50" w:name="co_pp_sp_359_524_0_1"/>
      <w:bookmarkEnd w:id="50"/>
      <w:r>
        <w:rPr>
          <w:b/>
          <w:bCs/>
        </w:rPr>
        <w:t>*524</w:t>
      </w:r>
      <w:r>
        <w:t xml:space="preserve"> as true, any prejudice incurred by Newman because of the passage of ten years in time is not due to Wright’s actions, since, at least for the past seven years, Newman has been in the same situation-receiving no support payments from Wright. Thus, although Wright may be morally obligated to support the ten-year-old child, he is not legally obligated to do so because Newman has failed to show that she or the child incurred any detriment by Wright’s failure to fulfill his promise made ten years ago.</w:t>
      </w:r>
    </w:p>
    <w:p w14:paraId="612B771E" w14:textId="77777777" w:rsidR="00B064AA" w:rsidRDefault="00B064AA" w:rsidP="00035A7E">
      <w:r>
        <w:t> </w:t>
      </w:r>
    </w:p>
    <w:p w14:paraId="5B85B142" w14:textId="77777777" w:rsidR="00B064AA" w:rsidRDefault="00B064AA" w:rsidP="00035A7E">
      <w:r>
        <w:t>For the foregoing reasons, I dissent.</w:t>
      </w:r>
    </w:p>
    <w:p w14:paraId="32EE1861" w14:textId="77777777" w:rsidR="00B064AA" w:rsidRDefault="00B064AA" w:rsidP="00035A7E">
      <w:r>
        <w:t> </w:t>
      </w:r>
    </w:p>
    <w:p w14:paraId="732A0E30" w14:textId="77777777" w:rsidR="00B064AA" w:rsidRDefault="00B064AA" w:rsidP="00035A7E">
      <w:pPr>
        <w:sectPr w:rsidR="00B064AA" w:rsidSect="00E15242">
          <w:headerReference w:type="default" r:id="rId62"/>
          <w:type w:val="continuous"/>
          <w:pgSz w:w="12240" w:h="15840"/>
          <w:pgMar w:top="1800" w:right="1080" w:bottom="1080" w:left="1080" w:header="720" w:footer="720" w:gutter="0"/>
          <w:cols w:space="720"/>
          <w:noEndnote/>
          <w:titlePg/>
          <w:docGrid w:linePitch="299"/>
        </w:sectPr>
      </w:pPr>
      <w:bookmarkStart w:id="51" w:name="co_parallelCitations_1"/>
      <w:bookmarkEnd w:id="51"/>
    </w:p>
    <w:tbl>
      <w:tblPr>
        <w:tblW w:w="0" w:type="auto"/>
        <w:tblLayout w:type="fixed"/>
        <w:tblCellMar>
          <w:left w:w="0" w:type="dxa"/>
          <w:right w:w="0" w:type="dxa"/>
        </w:tblCellMar>
        <w:tblLook w:val="0000" w:firstRow="0" w:lastRow="0" w:firstColumn="0" w:lastColumn="0" w:noHBand="0" w:noVBand="0"/>
      </w:tblPr>
      <w:tblGrid>
        <w:gridCol w:w="600"/>
        <w:gridCol w:w="9480"/>
      </w:tblGrid>
      <w:tr w:rsidR="00B064AA" w14:paraId="05633FDC" w14:textId="77777777">
        <w:tc>
          <w:tcPr>
            <w:tcW w:w="10080" w:type="dxa"/>
            <w:gridSpan w:val="2"/>
            <w:tcBorders>
              <w:top w:val="nil"/>
              <w:left w:val="nil"/>
              <w:bottom w:val="nil"/>
              <w:right w:val="nil"/>
            </w:tcBorders>
            <w:tcMar>
              <w:top w:w="200" w:type="dxa"/>
            </w:tcMar>
          </w:tcPr>
          <w:p w14:paraId="2F6F362F" w14:textId="77777777" w:rsidR="00B064AA" w:rsidRDefault="00B064AA" w:rsidP="00035A7E">
            <w:r>
              <w:rPr>
                <w:rFonts w:ascii="Arial" w:hAnsi="Arial" w:cs="Arial"/>
              </w:rPr>
              <w:t xml:space="preserve"> </w:t>
            </w:r>
            <w:r>
              <w:t>Footnotes</w:t>
            </w:r>
          </w:p>
          <w:p w14:paraId="587E6E88" w14:textId="77777777" w:rsidR="00B064AA" w:rsidRDefault="00B064AA" w:rsidP="00035A7E"/>
        </w:tc>
      </w:tr>
      <w:bookmarkStart w:id="52" w:name="co_footnote_B00111996062961_1"/>
      <w:bookmarkEnd w:id="52"/>
      <w:tr w:rsidR="00B064AA" w14:paraId="5011C73C" w14:textId="77777777">
        <w:tc>
          <w:tcPr>
            <w:tcW w:w="600" w:type="dxa"/>
            <w:tcBorders>
              <w:top w:val="nil"/>
              <w:left w:val="nil"/>
              <w:bottom w:val="nil"/>
              <w:right w:val="nil"/>
            </w:tcBorders>
          </w:tcPr>
          <w:p w14:paraId="4B959657" w14:textId="77777777" w:rsidR="00B064AA" w:rsidRDefault="00B064AA" w:rsidP="00035A7E">
            <w:r>
              <w:fldChar w:fldCharType="begin"/>
            </w:r>
            <w:r>
              <w:instrText xml:space="preserve">HYPERLINK "#co_footnoteReference_B00111996062961_ID0" </w:instrText>
            </w:r>
            <w:r>
              <w:fldChar w:fldCharType="separate"/>
            </w:r>
            <w:r>
              <w:rPr>
                <w:color w:val="0000FF"/>
                <w:vertAlign w:val="superscript"/>
              </w:rPr>
              <w:t>1</w:t>
            </w:r>
            <w:r>
              <w:fldChar w:fldCharType="end"/>
            </w:r>
          </w:p>
          <w:p w14:paraId="44B56305" w14:textId="77777777" w:rsidR="00B064AA" w:rsidRDefault="00B064AA" w:rsidP="00035A7E"/>
        </w:tc>
        <w:tc>
          <w:tcPr>
            <w:tcW w:w="9480" w:type="dxa"/>
            <w:tcBorders>
              <w:top w:val="nil"/>
              <w:left w:val="nil"/>
              <w:bottom w:val="nil"/>
              <w:right w:val="nil"/>
            </w:tcBorders>
          </w:tcPr>
          <w:p w14:paraId="7DA4815E" w14:textId="77777777" w:rsidR="00B064AA" w:rsidRDefault="0078463D" w:rsidP="00035A7E">
            <w:hyperlink r:id="rId63" w:history="1">
              <w:r w:rsidR="00B064AA">
                <w:rPr>
                  <w:color w:val="0000FF"/>
                </w:rPr>
                <w:t>OCGA § 13-3-44</w:t>
              </w:r>
            </w:hyperlink>
            <w:r w:rsidR="00B064AA">
              <w:t xml:space="preserve">; </w:t>
            </w:r>
            <w:hyperlink r:id="rId64" w:history="1">
              <w:r w:rsidR="00B064AA">
                <w:rPr>
                  <w:i/>
                  <w:iCs/>
                  <w:color w:val="0000FF"/>
                </w:rPr>
                <w:t>Insilco Corp. v. First Nat’l Bank of Dalton,</w:t>
              </w:r>
              <w:r w:rsidR="00B064AA">
                <w:rPr>
                  <w:color w:val="0000FF"/>
                </w:rPr>
                <w:t xml:space="preserve"> 248 Ga. 322, 322-23, 283 S.E.2d 262 (1981)</w:t>
              </w:r>
            </w:hyperlink>
            <w:r w:rsidR="00B064AA">
              <w:t xml:space="preserve">; see </w:t>
            </w:r>
            <w:hyperlink r:id="rId65" w:history="1">
              <w:r w:rsidR="00B064AA">
                <w:rPr>
                  <w:i/>
                  <w:iCs/>
                  <w:color w:val="0000FF"/>
                </w:rPr>
                <w:t>Pepsi Cola Bottling Co. v. First Nat’l Bank of Columbus,</w:t>
              </w:r>
              <w:r w:rsidR="00B064AA">
                <w:rPr>
                  <w:color w:val="0000FF"/>
                </w:rPr>
                <w:t xml:space="preserve"> 248 Ga. 114, 116, 281 S.E.2d 579 (1981)</w:t>
              </w:r>
            </w:hyperlink>
            <w:r w:rsidR="00B064AA">
              <w:t xml:space="preserve">; </w:t>
            </w:r>
            <w:hyperlink r:id="rId66" w:history="1">
              <w:r w:rsidR="00B064AA">
                <w:rPr>
                  <w:color w:val="0000FF"/>
                </w:rPr>
                <w:t>Restatement (Second) of Contracts, § 90 (1981 and Supp.1992)</w:t>
              </w:r>
            </w:hyperlink>
            <w:r w:rsidR="00B064AA">
              <w:t>.</w:t>
            </w:r>
          </w:p>
          <w:p w14:paraId="2B03E916" w14:textId="77777777" w:rsidR="00B064AA" w:rsidRDefault="00B064AA" w:rsidP="00035A7E"/>
        </w:tc>
      </w:tr>
      <w:bookmarkStart w:id="53" w:name="co_footnote_B00221996062961_1"/>
      <w:bookmarkEnd w:id="53"/>
      <w:tr w:rsidR="00B064AA" w14:paraId="6D629CAF" w14:textId="77777777">
        <w:tc>
          <w:tcPr>
            <w:tcW w:w="600" w:type="dxa"/>
            <w:tcBorders>
              <w:top w:val="nil"/>
              <w:left w:val="nil"/>
              <w:bottom w:val="nil"/>
              <w:right w:val="nil"/>
            </w:tcBorders>
          </w:tcPr>
          <w:p w14:paraId="55152542" w14:textId="77777777" w:rsidR="00B064AA" w:rsidRDefault="00B064AA" w:rsidP="00035A7E">
            <w:r>
              <w:fldChar w:fldCharType="begin"/>
            </w:r>
            <w:r>
              <w:instrText xml:space="preserve">HYPERLINK "#co_footnoteReference_B00221996062961_ID0" </w:instrText>
            </w:r>
            <w:r>
              <w:fldChar w:fldCharType="separate"/>
            </w:r>
            <w:r>
              <w:rPr>
                <w:color w:val="0000FF"/>
                <w:vertAlign w:val="superscript"/>
              </w:rPr>
              <w:t>2</w:t>
            </w:r>
            <w:r>
              <w:fldChar w:fldCharType="end"/>
            </w:r>
          </w:p>
          <w:p w14:paraId="2743345D" w14:textId="77777777" w:rsidR="00B064AA" w:rsidRDefault="00B064AA" w:rsidP="00035A7E"/>
        </w:tc>
        <w:tc>
          <w:tcPr>
            <w:tcW w:w="9480" w:type="dxa"/>
            <w:tcBorders>
              <w:top w:val="nil"/>
              <w:left w:val="nil"/>
              <w:bottom w:val="nil"/>
              <w:right w:val="nil"/>
            </w:tcBorders>
          </w:tcPr>
          <w:p w14:paraId="583C9007" w14:textId="77777777" w:rsidR="00B064AA" w:rsidRDefault="0078463D" w:rsidP="00035A7E">
            <w:hyperlink r:id="rId67" w:anchor="co_pp_sp_350_1371" w:history="1">
              <w:r w:rsidR="00B064AA">
                <w:rPr>
                  <w:i/>
                  <w:iCs/>
                  <w:color w:val="0000FF"/>
                </w:rPr>
                <w:t>Doll v. Grand Union Co.,</w:t>
              </w:r>
              <w:r w:rsidR="00B064AA">
                <w:rPr>
                  <w:color w:val="0000FF"/>
                </w:rPr>
                <w:t xml:space="preserve"> 925 F.2d 1363, 1371 (11th Cir.1991)</w:t>
              </w:r>
            </w:hyperlink>
            <w:r w:rsidR="00B064AA">
              <w:t>.</w:t>
            </w:r>
          </w:p>
          <w:p w14:paraId="266E37E2" w14:textId="77777777" w:rsidR="00B064AA" w:rsidRDefault="00B064AA" w:rsidP="00035A7E"/>
        </w:tc>
      </w:tr>
      <w:bookmarkStart w:id="54" w:name="co_footnote_B00331996062961_1"/>
      <w:bookmarkEnd w:id="54"/>
      <w:tr w:rsidR="00B064AA" w14:paraId="60E1B4FF" w14:textId="77777777">
        <w:tc>
          <w:tcPr>
            <w:tcW w:w="600" w:type="dxa"/>
            <w:tcBorders>
              <w:top w:val="nil"/>
              <w:left w:val="nil"/>
              <w:bottom w:val="nil"/>
              <w:right w:val="nil"/>
            </w:tcBorders>
          </w:tcPr>
          <w:p w14:paraId="7B21DFA1" w14:textId="77777777" w:rsidR="00B064AA" w:rsidRDefault="00B064AA" w:rsidP="00035A7E">
            <w:r>
              <w:fldChar w:fldCharType="begin"/>
            </w:r>
            <w:r>
              <w:instrText xml:space="preserve">HYPERLINK "#co_footnoteReference_B00331996062961_ID0" </w:instrText>
            </w:r>
            <w:r>
              <w:fldChar w:fldCharType="separate"/>
            </w:r>
            <w:r>
              <w:rPr>
                <w:color w:val="0000FF"/>
                <w:vertAlign w:val="superscript"/>
              </w:rPr>
              <w:t>3</w:t>
            </w:r>
            <w:r>
              <w:fldChar w:fldCharType="end"/>
            </w:r>
          </w:p>
          <w:p w14:paraId="5D8D1FA5" w14:textId="77777777" w:rsidR="00B064AA" w:rsidRDefault="00B064AA" w:rsidP="00035A7E"/>
        </w:tc>
        <w:tc>
          <w:tcPr>
            <w:tcW w:w="9480" w:type="dxa"/>
            <w:tcBorders>
              <w:top w:val="nil"/>
              <w:left w:val="nil"/>
              <w:bottom w:val="nil"/>
              <w:right w:val="nil"/>
            </w:tcBorders>
          </w:tcPr>
          <w:p w14:paraId="0A03D609" w14:textId="77777777" w:rsidR="00B064AA" w:rsidRDefault="0078463D" w:rsidP="00035A7E">
            <w:hyperlink r:id="rId68" w:history="1">
              <w:r w:rsidR="00B064AA">
                <w:rPr>
                  <w:i/>
                  <w:iCs/>
                  <w:color w:val="0000FF"/>
                </w:rPr>
                <w:t>Pepsi Cola Bottling Co.,</w:t>
              </w:r>
              <w:r w:rsidR="00B064AA">
                <w:rPr>
                  <w:color w:val="0000FF"/>
                </w:rPr>
                <w:t xml:space="preserve"> 248 Ga. at 116, 281 S.E.2d 579;</w:t>
              </w:r>
            </w:hyperlink>
            <w:r w:rsidR="00B064AA">
              <w:t xml:space="preserve"> see </w:t>
            </w:r>
            <w:hyperlink r:id="rId69" w:history="1">
              <w:proofErr w:type="spellStart"/>
              <w:r w:rsidR="00B064AA">
                <w:rPr>
                  <w:i/>
                  <w:iCs/>
                  <w:color w:val="0000FF"/>
                </w:rPr>
                <w:t>Zachos</w:t>
              </w:r>
              <w:proofErr w:type="spellEnd"/>
              <w:r w:rsidR="00B064AA">
                <w:rPr>
                  <w:i/>
                  <w:iCs/>
                  <w:color w:val="0000FF"/>
                </w:rPr>
                <w:t xml:space="preserve"> v. C &amp; S Nat. Bank,</w:t>
              </w:r>
              <w:r w:rsidR="00B064AA">
                <w:rPr>
                  <w:color w:val="0000FF"/>
                </w:rPr>
                <w:t xml:space="preserve"> 213 Ga. 619, 624, 100 S.E.2d 418 (1957)</w:t>
              </w:r>
            </w:hyperlink>
            <w:r w:rsidR="00B064AA">
              <w:t xml:space="preserve">; </w:t>
            </w:r>
            <w:hyperlink r:id="rId70" w:history="1">
              <w:r w:rsidR="00B064AA">
                <w:rPr>
                  <w:i/>
                  <w:iCs/>
                  <w:color w:val="0000FF"/>
                </w:rPr>
                <w:t>Folks, Inc. v. Dobbs,</w:t>
              </w:r>
              <w:r w:rsidR="00B064AA">
                <w:rPr>
                  <w:color w:val="0000FF"/>
                </w:rPr>
                <w:t xml:space="preserve"> 181 </w:t>
              </w:r>
              <w:proofErr w:type="spellStart"/>
              <w:r w:rsidR="00B064AA">
                <w:rPr>
                  <w:color w:val="0000FF"/>
                </w:rPr>
                <w:t>Ga.App</w:t>
              </w:r>
              <w:proofErr w:type="spellEnd"/>
              <w:r w:rsidR="00B064AA">
                <w:rPr>
                  <w:color w:val="0000FF"/>
                </w:rPr>
                <w:t>. 311, 352 S.E.2d 212 (1986)</w:t>
              </w:r>
            </w:hyperlink>
            <w:r w:rsidR="00B064AA">
              <w:t>.</w:t>
            </w:r>
          </w:p>
          <w:p w14:paraId="5036C99F" w14:textId="77777777" w:rsidR="00B064AA" w:rsidRDefault="00B064AA" w:rsidP="00035A7E"/>
        </w:tc>
      </w:tr>
      <w:bookmarkStart w:id="55" w:name="co_footnote_B00441996062961_1"/>
      <w:bookmarkEnd w:id="55"/>
      <w:tr w:rsidR="00B064AA" w14:paraId="58EBC294" w14:textId="77777777">
        <w:tc>
          <w:tcPr>
            <w:tcW w:w="600" w:type="dxa"/>
            <w:tcBorders>
              <w:top w:val="nil"/>
              <w:left w:val="nil"/>
              <w:bottom w:val="nil"/>
              <w:right w:val="nil"/>
            </w:tcBorders>
          </w:tcPr>
          <w:p w14:paraId="4DE98B7A" w14:textId="77777777" w:rsidR="00B064AA" w:rsidRDefault="00B064AA" w:rsidP="00035A7E">
            <w:r>
              <w:fldChar w:fldCharType="begin"/>
            </w:r>
            <w:r>
              <w:instrText xml:space="preserve">HYPERLINK "#co_footnoteReference_B00441996062961_ID0" </w:instrText>
            </w:r>
            <w:r>
              <w:fldChar w:fldCharType="separate"/>
            </w:r>
            <w:r>
              <w:rPr>
                <w:color w:val="0000FF"/>
                <w:vertAlign w:val="superscript"/>
              </w:rPr>
              <w:t>4</w:t>
            </w:r>
            <w:r>
              <w:fldChar w:fldCharType="end"/>
            </w:r>
          </w:p>
          <w:p w14:paraId="1398B64B" w14:textId="77777777" w:rsidR="00B064AA" w:rsidRDefault="00B064AA" w:rsidP="00035A7E"/>
        </w:tc>
        <w:tc>
          <w:tcPr>
            <w:tcW w:w="9480" w:type="dxa"/>
            <w:tcBorders>
              <w:top w:val="nil"/>
              <w:left w:val="nil"/>
              <w:bottom w:val="nil"/>
              <w:right w:val="nil"/>
            </w:tcBorders>
          </w:tcPr>
          <w:p w14:paraId="64960F18" w14:textId="77777777" w:rsidR="00B064AA" w:rsidRDefault="0078463D" w:rsidP="00035A7E">
            <w:hyperlink r:id="rId71" w:history="1">
              <w:r w:rsidR="00B064AA">
                <w:rPr>
                  <w:i/>
                  <w:iCs/>
                  <w:color w:val="0000FF"/>
                </w:rPr>
                <w:t>Fidelity &amp; Deposit Co. v. West Point Construction Co.,</w:t>
              </w:r>
              <w:r w:rsidR="00B064AA">
                <w:rPr>
                  <w:color w:val="0000FF"/>
                </w:rPr>
                <w:t xml:space="preserve"> 178 </w:t>
              </w:r>
              <w:proofErr w:type="spellStart"/>
              <w:r w:rsidR="00B064AA">
                <w:rPr>
                  <w:color w:val="0000FF"/>
                </w:rPr>
                <w:t>Ga.App</w:t>
              </w:r>
              <w:proofErr w:type="spellEnd"/>
              <w:r w:rsidR="00B064AA">
                <w:rPr>
                  <w:color w:val="0000FF"/>
                </w:rPr>
                <w:t>. 578, 344 S.E.2d 268 (1986)</w:t>
              </w:r>
            </w:hyperlink>
            <w:r w:rsidR="00B064AA">
              <w:t xml:space="preserve">; see </w:t>
            </w:r>
            <w:hyperlink r:id="rId72" w:history="1">
              <w:r w:rsidR="00B064AA">
                <w:rPr>
                  <w:i/>
                  <w:iCs/>
                  <w:color w:val="0000FF"/>
                </w:rPr>
                <w:t>Doll,</w:t>
              </w:r>
              <w:r w:rsidR="00B064AA">
                <w:rPr>
                  <w:color w:val="0000FF"/>
                </w:rPr>
                <w:t xml:space="preserve"> supra.</w:t>
              </w:r>
            </w:hyperlink>
          </w:p>
          <w:p w14:paraId="6BCE003B" w14:textId="77777777" w:rsidR="00B064AA" w:rsidRDefault="00B064AA" w:rsidP="00035A7E"/>
        </w:tc>
      </w:tr>
      <w:bookmarkStart w:id="56" w:name="co_footnote_B00551996062961_1"/>
      <w:bookmarkEnd w:id="56"/>
      <w:tr w:rsidR="00B064AA" w14:paraId="6ADA88EF" w14:textId="77777777">
        <w:tc>
          <w:tcPr>
            <w:tcW w:w="600" w:type="dxa"/>
            <w:tcBorders>
              <w:top w:val="nil"/>
              <w:left w:val="nil"/>
              <w:bottom w:val="nil"/>
              <w:right w:val="nil"/>
            </w:tcBorders>
          </w:tcPr>
          <w:p w14:paraId="67949E60" w14:textId="77777777" w:rsidR="00B064AA" w:rsidRDefault="00B064AA" w:rsidP="00035A7E">
            <w:r>
              <w:fldChar w:fldCharType="begin"/>
            </w:r>
            <w:r>
              <w:instrText xml:space="preserve">HYPERLINK "#co_footnoteReference_B00551996062961_ID0" </w:instrText>
            </w:r>
            <w:r>
              <w:fldChar w:fldCharType="separate"/>
            </w:r>
            <w:r>
              <w:rPr>
                <w:color w:val="0000FF"/>
                <w:vertAlign w:val="superscript"/>
              </w:rPr>
              <w:t>5</w:t>
            </w:r>
            <w:r>
              <w:fldChar w:fldCharType="end"/>
            </w:r>
          </w:p>
          <w:p w14:paraId="4B8CB752" w14:textId="77777777" w:rsidR="00B064AA" w:rsidRDefault="00B064AA" w:rsidP="00035A7E"/>
        </w:tc>
        <w:tc>
          <w:tcPr>
            <w:tcW w:w="9480" w:type="dxa"/>
            <w:tcBorders>
              <w:top w:val="nil"/>
              <w:left w:val="nil"/>
              <w:bottom w:val="nil"/>
              <w:right w:val="nil"/>
            </w:tcBorders>
          </w:tcPr>
          <w:p w14:paraId="70619496" w14:textId="77777777" w:rsidR="00B064AA" w:rsidRDefault="00B064AA" w:rsidP="00035A7E">
            <w:r>
              <w:t>Wright is also morally obligated to provide support for Newman’s son. Merely because an obligation may not be capable of legal enforcement, one is not necessarily free to act in any way that he might choose. In addition to our legal duties, we are also bound by a consciousness of duty that is based upon fundamental values such as honor, truth, and responsibility. The “non-legal” obligations that we undertake are no less sacrosanct merely because they may not be capable of legal enforcement. The moral (as opposed to the legal) dilemma faced by Wright lies within his conscience, heart, and soul. He need have looked no further than there to determine what he must do in this case.</w:t>
            </w:r>
          </w:p>
          <w:p w14:paraId="6A8E297D" w14:textId="77777777" w:rsidR="00B064AA" w:rsidRDefault="00B064AA" w:rsidP="00035A7E"/>
        </w:tc>
      </w:tr>
    </w:tbl>
    <w:p w14:paraId="5CC42193" w14:textId="77777777" w:rsidR="00B064AA" w:rsidRDefault="00B064AA" w:rsidP="00AA3BF5">
      <w:bookmarkStart w:id="57" w:name="_GoBack"/>
      <w:bookmarkEnd w:id="57"/>
    </w:p>
    <w:sectPr w:rsidR="00B064AA" w:rsidSect="00AA3BF5">
      <w:type w:val="continuous"/>
      <w:pgSz w:w="12240" w:h="15840"/>
      <w:pgMar w:top="1800" w:right="1080" w:bottom="1080" w:left="108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8" w:author="sbrewer" w:date="2016-07-12T09:06:00Z" w:initials="s">
    <w:p w14:paraId="66BDDD79" w14:textId="77777777" w:rsidR="00E15242" w:rsidRDefault="00E15242" w:rsidP="00035A7E">
      <w:pPr>
        <w:pStyle w:val="CommentText"/>
      </w:pPr>
      <w:r>
        <w:rPr>
          <w:rStyle w:val="CommentReference"/>
        </w:rPr>
        <w:annotationRef/>
      </w:r>
      <w:r>
        <w:t xml:space="preserve">Rule enthymeme. How can you "rulify," </w:t>
      </w:r>
      <w:proofErr w:type="gramStart"/>
      <w:r>
        <w:t>i.e.,.</w:t>
      </w:r>
      <w:proofErr w:type="gramEnd"/>
      <w:r>
        <w:t xml:space="preserve"> give a fair formal representation of this rule enthymeme?  What is antecedent, what is consequent?  Really needs modal or deontic operators?  Issue of adequacy of representation</w:t>
      </w:r>
    </w:p>
  </w:comment>
  <w:comment w:id="9" w:author="sbrewer" w:date="2016-07-12T09:06:00Z" w:initials="s">
    <w:p w14:paraId="1CE647DF" w14:textId="77777777" w:rsidR="00E15242" w:rsidRDefault="00E15242" w:rsidP="00035A7E">
      <w:pPr>
        <w:pStyle w:val="CommentText"/>
      </w:pPr>
      <w:r>
        <w:rPr>
          <w:rStyle w:val="CommentReference"/>
        </w:rPr>
        <w:annotationRef/>
      </w:r>
      <w:r>
        <w:t>Rule enthymeme</w:t>
      </w:r>
    </w:p>
  </w:comment>
  <w:comment w:id="10" w:author="sbrewer" w:date="2016-07-12T09:06:00Z" w:initials="s">
    <w:p w14:paraId="495FF27B" w14:textId="77777777" w:rsidR="00E15242" w:rsidRDefault="00E15242" w:rsidP="00035A7E">
      <w:pPr>
        <w:pStyle w:val="CommentText"/>
      </w:pPr>
      <w:r>
        <w:rPr>
          <w:rStyle w:val="CommentReference"/>
        </w:rPr>
        <w:annotationRef/>
      </w:r>
      <w:r>
        <w:t xml:space="preserve">Rule enthymeme. Could be represented in modal logic, the logic of possibility, necessity, impossibility.  How about in propositional logic?  How can you "rulify," </w:t>
      </w:r>
      <w:proofErr w:type="gramStart"/>
      <w:r>
        <w:t>i.e.,.</w:t>
      </w:r>
      <w:proofErr w:type="gramEnd"/>
      <w:r>
        <w:t xml:space="preserve"> give a fair formal representation of this rule enthymeme?  What is antecedent, what is consequent?</w:t>
      </w:r>
    </w:p>
  </w:comment>
  <w:comment w:id="17" w:author="sbrewer" w:date="2016-07-12T09:06:00Z" w:initials="s">
    <w:p w14:paraId="00E62291" w14:textId="77777777" w:rsidR="005C7CE6" w:rsidRDefault="004D636E" w:rsidP="00035A7E">
      <w:pPr>
        <w:pStyle w:val="CommentText"/>
      </w:pPr>
      <w:r>
        <w:rPr>
          <w:rStyle w:val="CommentReference"/>
        </w:rPr>
        <w:annotationRef/>
      </w:r>
      <w:proofErr w:type="gramStart"/>
      <w:r>
        <w:t>Actual rule,</w:t>
      </w:r>
      <w:proofErr w:type="gramEnd"/>
      <w:r>
        <w:t xml:space="preserve"> not rule enthymeme</w:t>
      </w:r>
    </w:p>
  </w:comment>
  <w:comment w:id="18" w:author="sbrewer" w:date="2016-07-12T09:06:00Z" w:initials="s">
    <w:p w14:paraId="17C8CBE7" w14:textId="77777777" w:rsidR="005C7CE6" w:rsidRDefault="00711CEC" w:rsidP="00035A7E">
      <w:pPr>
        <w:pStyle w:val="CommentText"/>
      </w:pPr>
      <w:r>
        <w:rPr>
          <w:rStyle w:val="CommentReference"/>
        </w:rPr>
        <w:annotationRef/>
      </w:r>
      <w:r>
        <w:t>Inference to the best legal explanation</w:t>
      </w:r>
    </w:p>
  </w:comment>
  <w:comment w:id="20" w:author="sbrewer" w:date="2016-07-12T09:06:00Z" w:initials="s">
    <w:p w14:paraId="0D430B61" w14:textId="77777777" w:rsidR="005C7CE6" w:rsidRDefault="005905D6" w:rsidP="00035A7E">
      <w:pPr>
        <w:pStyle w:val="CommentText"/>
      </w:pPr>
      <w:r>
        <w:rPr>
          <w:rStyle w:val="CommentReference"/>
        </w:rPr>
        <w:annotationRef/>
      </w:r>
      <w:proofErr w:type="gramStart"/>
      <w:r>
        <w:t>Also</w:t>
      </w:r>
      <w:proofErr w:type="gramEnd"/>
      <w:r>
        <w:t xml:space="preserve"> part of the court's inference to the best legal interpretation.</w:t>
      </w:r>
    </w:p>
  </w:comment>
  <w:comment w:id="23" w:author="sbrewer" w:date="2016-07-12T09:06:00Z" w:initials="s">
    <w:p w14:paraId="60183887" w14:textId="77777777" w:rsidR="005C7CE6" w:rsidRDefault="00DB0669" w:rsidP="00035A7E">
      <w:pPr>
        <w:pStyle w:val="CommentText"/>
      </w:pPr>
      <w:r>
        <w:rPr>
          <w:rStyle w:val="CommentReference"/>
        </w:rPr>
        <w:annotationRef/>
      </w:r>
      <w:r>
        <w:t>Another part of court's inference to the best legal explanation – rejection explanation as consideration-based enforceable promise.</w:t>
      </w:r>
    </w:p>
  </w:comment>
  <w:comment w:id="24" w:author="sbrewer" w:date="2016-07-12T09:06:00Z" w:initials="s">
    <w:p w14:paraId="1C3D82A7" w14:textId="77777777" w:rsidR="005C7CE6" w:rsidRDefault="00A14919" w:rsidP="00035A7E">
      <w:pPr>
        <w:pStyle w:val="CommentText"/>
      </w:pPr>
      <w:r>
        <w:rPr>
          <w:rStyle w:val="CommentReference"/>
        </w:rPr>
        <w:annotationRef/>
      </w:r>
      <w:r>
        <w:t>Rule enthymeme</w:t>
      </w:r>
    </w:p>
  </w:comment>
  <w:comment w:id="25" w:author="sbrewer" w:date="2016-07-12T09:06:00Z" w:initials="s">
    <w:p w14:paraId="7EC9F62A" w14:textId="77777777" w:rsidR="005C7CE6" w:rsidRDefault="00A14919" w:rsidP="00035A7E">
      <w:pPr>
        <w:pStyle w:val="CommentText"/>
      </w:pPr>
      <w:r>
        <w:rPr>
          <w:rStyle w:val="CommentReference"/>
        </w:rPr>
        <w:annotationRef/>
      </w:r>
      <w:r>
        <w:t>Rule enthymeme</w:t>
      </w:r>
      <w:r w:rsidR="00C842A5">
        <w:t xml:space="preserve">. How can you "rulify," </w:t>
      </w:r>
      <w:proofErr w:type="gramStart"/>
      <w:r w:rsidR="00C842A5">
        <w:t>i.e.,.</w:t>
      </w:r>
      <w:proofErr w:type="gramEnd"/>
      <w:r w:rsidR="00C842A5">
        <w:t xml:space="preserve"> give a fair formal representation of this rule enthymeme?  What is antecedent, what is consequent?</w:t>
      </w:r>
      <w:r w:rsidR="009E3791">
        <w:t xml:space="preserve">  Really needs modal or deontic operators?  Issue of adequacy of representation</w:t>
      </w:r>
    </w:p>
  </w:comment>
  <w:comment w:id="28" w:author="sbrewer" w:date="2016-07-12T09:06:00Z" w:initials="s">
    <w:p w14:paraId="24F59DA0" w14:textId="77777777" w:rsidR="005C7CE6" w:rsidRDefault="00A14919" w:rsidP="00035A7E">
      <w:pPr>
        <w:pStyle w:val="CommentText"/>
      </w:pPr>
      <w:r>
        <w:rPr>
          <w:rStyle w:val="CommentReference"/>
        </w:rPr>
        <w:annotationRef/>
      </w:r>
      <w:r>
        <w:t xml:space="preserve">Same rule of procedure, "sufficient evidence operator," as in </w:t>
      </w:r>
      <w:r w:rsidRPr="00C842A5">
        <w:rPr>
          <w:i/>
        </w:rPr>
        <w:t>Monge</w:t>
      </w:r>
      <w:r>
        <w:t>, also a state supreme court, "If the evidence authorizes P, then p"  This is how courts move from probabi</w:t>
      </w:r>
      <w:r w:rsidR="008A0149">
        <w:t xml:space="preserve">listic evidentiary judgments (Day 6, inductive inference) to bivalent reasoning that lends itself to </w:t>
      </w:r>
      <w:proofErr w:type="spellStart"/>
      <w:r w:rsidR="008A0149">
        <w:t>reprersentation</w:t>
      </w:r>
      <w:proofErr w:type="spellEnd"/>
      <w:r w:rsidR="008A0149">
        <w:t xml:space="preserve"> by propositional or predicate logic</w:t>
      </w:r>
    </w:p>
  </w:comment>
  <w:comment w:id="30" w:author="sbrewer" w:date="2016-07-12T09:06:00Z" w:initials="s">
    <w:p w14:paraId="7DACBA0B" w14:textId="77777777" w:rsidR="005C7CE6" w:rsidRDefault="00017B04" w:rsidP="00035A7E">
      <w:pPr>
        <w:pStyle w:val="CommentText"/>
      </w:pPr>
      <w:r>
        <w:rPr>
          <w:rStyle w:val="CommentReference"/>
        </w:rPr>
        <w:annotationRef/>
      </w:r>
      <w:r>
        <w:t>Argument enthymeme.  What mode of logical inference?</w:t>
      </w:r>
      <w:r w:rsidR="007E44FC">
        <w:t xml:space="preserve">  (two interacting modes of logical inference)</w:t>
      </w:r>
    </w:p>
  </w:comment>
  <w:comment w:id="32" w:author="sbrewer" w:date="2016-07-12T09:06:00Z" w:initials="s">
    <w:p w14:paraId="666A3DAB" w14:textId="77777777" w:rsidR="005C7CE6" w:rsidRDefault="007E44FC" w:rsidP="00035A7E">
      <w:pPr>
        <w:pStyle w:val="CommentText"/>
      </w:pPr>
      <w:r>
        <w:rPr>
          <w:rStyle w:val="CommentReference"/>
        </w:rPr>
        <w:annotationRef/>
      </w:r>
      <w:r>
        <w:t>Part of inference to the best legal explanation</w:t>
      </w:r>
    </w:p>
  </w:comment>
  <w:comment w:id="33" w:author="sbrewer" w:date="2016-07-12T09:06:00Z" w:initials="s">
    <w:p w14:paraId="14CCA4C3" w14:textId="77777777" w:rsidR="00C842A5" w:rsidRDefault="00C842A5" w:rsidP="00035A7E">
      <w:pPr>
        <w:pStyle w:val="CommentText"/>
      </w:pPr>
      <w:r>
        <w:rPr>
          <w:rStyle w:val="CommentReference"/>
        </w:rPr>
        <w:annotationRef/>
      </w:r>
      <w:r>
        <w:t xml:space="preserve">Rule enthymeme. How can you "rulify," </w:t>
      </w:r>
      <w:proofErr w:type="gramStart"/>
      <w:r>
        <w:t>i.e.,.</w:t>
      </w:r>
      <w:proofErr w:type="gramEnd"/>
      <w:r>
        <w:t xml:space="preserve"> give a fair formal representation of this rule enthymeme?  What is antecedent, what is consequent?</w:t>
      </w:r>
    </w:p>
    <w:p w14:paraId="09D985F0" w14:textId="77777777" w:rsidR="005C7CE6" w:rsidRDefault="005C7CE6" w:rsidP="00035A7E">
      <w:pPr>
        <w:pStyle w:val="CommentText"/>
      </w:pPr>
    </w:p>
  </w:comment>
  <w:comment w:id="36" w:author="sbrewer" w:date="2016-07-12T09:06:00Z" w:initials="s">
    <w:p w14:paraId="78F40B65" w14:textId="77777777" w:rsidR="005C7CE6" w:rsidRDefault="00C842A5" w:rsidP="00035A7E">
      <w:pPr>
        <w:pStyle w:val="CommentText"/>
      </w:pPr>
      <w:r>
        <w:rPr>
          <w:rStyle w:val="CommentReference"/>
        </w:rPr>
        <w:annotationRef/>
      </w:r>
      <w:r>
        <w:t xml:space="preserve">Rule enthymeme. Could be represented in modal logic, the logic of possibility, necessity, impossibility.  How about in propositional logic?  How can you "rulify," </w:t>
      </w:r>
      <w:proofErr w:type="gramStart"/>
      <w:r>
        <w:t>i.e.,.</w:t>
      </w:r>
      <w:proofErr w:type="gramEnd"/>
      <w:r>
        <w:t xml:space="preserve"> give a fair formal representation of this rule enthymeme?  What is antecedent, what is consequent?</w:t>
      </w:r>
    </w:p>
  </w:comment>
  <w:comment w:id="40" w:author="sbrewer" w:date="2016-07-12T09:06:00Z" w:initials="s">
    <w:p w14:paraId="45661F45" w14:textId="77777777" w:rsidR="005C7CE6" w:rsidRDefault="00C842A5" w:rsidP="00035A7E">
      <w:pPr>
        <w:pStyle w:val="CommentText"/>
      </w:pPr>
      <w:r>
        <w:rPr>
          <w:rStyle w:val="CommentReference"/>
        </w:rPr>
        <w:annotationRef/>
      </w:r>
      <w:r>
        <w:t>Argument enthymeme.  What are the premises, what is the conclusion?</w:t>
      </w:r>
    </w:p>
  </w:comment>
  <w:comment w:id="42" w:author="sbrewer" w:date="2016-07-12T09:06:00Z" w:initials="s">
    <w:p w14:paraId="79CA8463" w14:textId="77777777" w:rsidR="005C7CE6" w:rsidRDefault="00C842A5" w:rsidP="00035A7E">
      <w:pPr>
        <w:pStyle w:val="CommentText"/>
      </w:pPr>
      <w:r>
        <w:rPr>
          <w:rStyle w:val="CommentReference"/>
        </w:rPr>
        <w:annotationRef/>
      </w:r>
      <w:r>
        <w:t>Is this consistent with the statutory rule?</w:t>
      </w:r>
    </w:p>
  </w:comment>
  <w:comment w:id="43" w:author="sbrewer" w:date="2016-07-12T09:06:00Z" w:initials="s">
    <w:p w14:paraId="6945C080" w14:textId="77777777" w:rsidR="005C7CE6" w:rsidRDefault="00C842A5" w:rsidP="00035A7E">
      <w:pPr>
        <w:pStyle w:val="CommentText"/>
      </w:pPr>
      <w:r>
        <w:rPr>
          <w:rStyle w:val="CommentReference"/>
        </w:rPr>
        <w:annotationRef/>
      </w:r>
      <w:r>
        <w:t>How about in the statute?</w:t>
      </w:r>
    </w:p>
  </w:comment>
  <w:comment w:id="44" w:author="sbrewer" w:date="2016-07-12T09:06:00Z" w:initials="s">
    <w:p w14:paraId="33F6D620" w14:textId="77777777" w:rsidR="005C7CE6" w:rsidRDefault="00C842A5" w:rsidP="00035A7E">
      <w:pPr>
        <w:pStyle w:val="CommentText"/>
      </w:pPr>
      <w:r>
        <w:rPr>
          <w:rStyle w:val="CommentReference"/>
        </w:rPr>
        <w:annotationRef/>
      </w:r>
      <w:r>
        <w:t xml:space="preserve">Is this the </w:t>
      </w:r>
      <w:r w:rsidRPr="00C842A5">
        <w:rPr>
          <w:i/>
        </w:rPr>
        <w:t>statutory</w:t>
      </w:r>
      <w:r>
        <w:t xml:space="preserve"> requirement?</w:t>
      </w:r>
    </w:p>
  </w:comment>
  <w:comment w:id="47" w:author="sbrewer" w:date="2016-07-12T09:06:00Z" w:initials="s">
    <w:p w14:paraId="1F816B7C" w14:textId="77777777" w:rsidR="005C7CE6" w:rsidRDefault="00C842A5" w:rsidP="00035A7E">
      <w:pPr>
        <w:pStyle w:val="CommentText"/>
      </w:pPr>
      <w:r>
        <w:rPr>
          <w:rStyle w:val="CommentReference"/>
        </w:rPr>
        <w:annotationRef/>
      </w:r>
      <w:r>
        <w:t xml:space="preserve">Argument enthymeme.  What are the premises, what is the </w:t>
      </w:r>
      <w:proofErr w:type="gramStart"/>
      <w:r>
        <w:t>conclusion.</w:t>
      </w:r>
      <w:proofErr w:type="gram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6BDDD79" w15:done="0"/>
  <w15:commentEx w15:paraId="1CE647DF" w15:done="0"/>
  <w15:commentEx w15:paraId="495FF27B" w15:done="0"/>
  <w15:commentEx w15:paraId="00E62291" w15:done="0"/>
  <w15:commentEx w15:paraId="17C8CBE7" w15:done="0"/>
  <w15:commentEx w15:paraId="0D430B61" w15:done="0"/>
  <w15:commentEx w15:paraId="60183887" w15:done="0"/>
  <w15:commentEx w15:paraId="1C3D82A7" w15:done="0"/>
  <w15:commentEx w15:paraId="7EC9F62A" w15:done="0"/>
  <w15:commentEx w15:paraId="24F59DA0" w15:done="0"/>
  <w15:commentEx w15:paraId="7DACBA0B" w15:done="0"/>
  <w15:commentEx w15:paraId="666A3DAB" w15:done="0"/>
  <w15:commentEx w15:paraId="09D985F0" w15:done="0"/>
  <w15:commentEx w15:paraId="78F40B65" w15:done="0"/>
  <w15:commentEx w15:paraId="45661F45" w15:done="0"/>
  <w15:commentEx w15:paraId="79CA8463" w15:done="0"/>
  <w15:commentEx w15:paraId="6945C080" w15:done="0"/>
  <w15:commentEx w15:paraId="33F6D620" w15:done="0"/>
  <w15:commentEx w15:paraId="1F816B7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BDDD79" w16cid:durableId="1EEEF889"/>
  <w16cid:commentId w16cid:paraId="1CE647DF" w16cid:durableId="1EEEF88A"/>
  <w16cid:commentId w16cid:paraId="495FF27B" w16cid:durableId="1EEEF88B"/>
  <w16cid:commentId w16cid:paraId="00E62291" w16cid:durableId="1EEEF88C"/>
  <w16cid:commentId w16cid:paraId="17C8CBE7" w16cid:durableId="1EEEF88D"/>
  <w16cid:commentId w16cid:paraId="0D430B61" w16cid:durableId="1EEEF88E"/>
  <w16cid:commentId w16cid:paraId="60183887" w16cid:durableId="1EEEF88F"/>
  <w16cid:commentId w16cid:paraId="1C3D82A7" w16cid:durableId="1EEEF890"/>
  <w16cid:commentId w16cid:paraId="7EC9F62A" w16cid:durableId="1EEEF891"/>
  <w16cid:commentId w16cid:paraId="24F59DA0" w16cid:durableId="1EEEF892"/>
  <w16cid:commentId w16cid:paraId="7DACBA0B" w16cid:durableId="1EEEF893"/>
  <w16cid:commentId w16cid:paraId="666A3DAB" w16cid:durableId="1EEEF894"/>
  <w16cid:commentId w16cid:paraId="09D985F0" w16cid:durableId="1EEEF895"/>
  <w16cid:commentId w16cid:paraId="78F40B65" w16cid:durableId="1EEEF896"/>
  <w16cid:commentId w16cid:paraId="45661F45" w16cid:durableId="1EEEF897"/>
  <w16cid:commentId w16cid:paraId="79CA8463" w16cid:durableId="1EEEF898"/>
  <w16cid:commentId w16cid:paraId="6945C080" w16cid:durableId="1EEEF899"/>
  <w16cid:commentId w16cid:paraId="33F6D620" w16cid:durableId="1EEEF89A"/>
  <w16cid:commentId w16cid:paraId="1F816B7C" w16cid:durableId="1EEEF89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66ADA" w14:textId="77777777" w:rsidR="0078463D" w:rsidRDefault="0078463D" w:rsidP="00035A7E">
      <w:r>
        <w:separator/>
      </w:r>
    </w:p>
  </w:endnote>
  <w:endnote w:type="continuationSeparator" w:id="0">
    <w:p w14:paraId="5653C152" w14:textId="77777777" w:rsidR="0078463D" w:rsidRDefault="0078463D" w:rsidP="00035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55DB58" w14:textId="77777777" w:rsidR="0078463D" w:rsidRDefault="0078463D" w:rsidP="00035A7E">
      <w:r>
        <w:separator/>
      </w:r>
    </w:p>
  </w:footnote>
  <w:footnote w:type="continuationSeparator" w:id="0">
    <w:p w14:paraId="5256691B" w14:textId="77777777" w:rsidR="0078463D" w:rsidRDefault="0078463D" w:rsidP="00035A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A9C7C" w14:textId="77777777" w:rsidR="00711CEC" w:rsidRDefault="00711CEC" w:rsidP="00BB00C6">
    <w:pPr>
      <w:pStyle w:val="Header"/>
      <w:jc w:val="center"/>
    </w:pPr>
    <w:r>
      <w:fldChar w:fldCharType="begin"/>
    </w:r>
    <w:r>
      <w:instrText xml:space="preserve"> PAGE   \* MERGEFORMAT </w:instrText>
    </w:r>
    <w:r>
      <w:fldChar w:fldCharType="separate"/>
    </w:r>
    <w:r w:rsidR="001E3CAE">
      <w:rPr>
        <w:noProof/>
      </w:rPr>
      <w:t>2</w:t>
    </w:r>
    <w:r>
      <w:fldChar w:fldCharType="end"/>
    </w:r>
  </w:p>
  <w:p w14:paraId="334218B7" w14:textId="77777777" w:rsidR="00B064AA" w:rsidRDefault="00B064AA" w:rsidP="00035A7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55C36"/>
    <w:multiLevelType w:val="hybridMultilevel"/>
    <w:tmpl w:val="F4F889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3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3A0A"/>
    <w:rsid w:val="00017B04"/>
    <w:rsid w:val="00020890"/>
    <w:rsid w:val="00035A7E"/>
    <w:rsid w:val="000E2132"/>
    <w:rsid w:val="001E3A0A"/>
    <w:rsid w:val="001E3CAE"/>
    <w:rsid w:val="00200D6F"/>
    <w:rsid w:val="002157D7"/>
    <w:rsid w:val="00340B06"/>
    <w:rsid w:val="004300FA"/>
    <w:rsid w:val="004545A9"/>
    <w:rsid w:val="00466155"/>
    <w:rsid w:val="004D636E"/>
    <w:rsid w:val="005042BF"/>
    <w:rsid w:val="0052491F"/>
    <w:rsid w:val="005905D6"/>
    <w:rsid w:val="005C7CE6"/>
    <w:rsid w:val="00711CEC"/>
    <w:rsid w:val="00781BB7"/>
    <w:rsid w:val="0078463D"/>
    <w:rsid w:val="007E44FC"/>
    <w:rsid w:val="008A0149"/>
    <w:rsid w:val="009157D9"/>
    <w:rsid w:val="009268BE"/>
    <w:rsid w:val="00982EBB"/>
    <w:rsid w:val="009E3791"/>
    <w:rsid w:val="00A14919"/>
    <w:rsid w:val="00AA3BF5"/>
    <w:rsid w:val="00B064AA"/>
    <w:rsid w:val="00B9673D"/>
    <w:rsid w:val="00BA78DA"/>
    <w:rsid w:val="00BB00C6"/>
    <w:rsid w:val="00C5722C"/>
    <w:rsid w:val="00C842A5"/>
    <w:rsid w:val="00D35771"/>
    <w:rsid w:val="00DB0669"/>
    <w:rsid w:val="00DF2F9E"/>
    <w:rsid w:val="00E15242"/>
    <w:rsid w:val="00EB52F5"/>
    <w:rsid w:val="00F779F4"/>
    <w:rsid w:val="00FB40A3"/>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C53152"/>
  <w14:defaultImageDpi w14:val="96"/>
  <w15:docId w15:val="{509F39D9-94F5-4212-B93F-BEE316933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US" w:eastAsia="en-US" w:bidi="sa-IN"/>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5A7E"/>
    <w:pPr>
      <w:spacing w:after="0"/>
      <w:jc w:val="both"/>
    </w:pPr>
    <w:rPr>
      <w:rFonts w:ascii="Times New Roman" w:hAnsi="Times New Roman"/>
      <w:sz w:val="24"/>
      <w:szCs w:val="24"/>
      <w:lang w:bidi="ar-SA"/>
    </w:rPr>
  </w:style>
  <w:style w:type="paragraph" w:styleId="Heading1">
    <w:name w:val="heading 1"/>
    <w:basedOn w:val="Normal"/>
    <w:next w:val="Normal"/>
    <w:link w:val="Heading1Char"/>
    <w:uiPriority w:val="9"/>
    <w:qFormat/>
    <w:rsid w:val="00035A7E"/>
    <w:pPr>
      <w:keepNext/>
      <w:keepLines/>
      <w:spacing w:before="480"/>
      <w:outlineLvl w:val="0"/>
    </w:pPr>
    <w:rPr>
      <w:rFonts w:ascii="Arial" w:eastAsiaTheme="majorEastAsia" w:hAnsi="Arial" w:cs="Arial"/>
      <w:b/>
      <w:bCs/>
    </w:rPr>
  </w:style>
  <w:style w:type="paragraph" w:styleId="Heading2">
    <w:name w:val="heading 2"/>
    <w:basedOn w:val="Normal"/>
    <w:next w:val="Normal"/>
    <w:link w:val="Heading2Char"/>
    <w:uiPriority w:val="9"/>
    <w:unhideWhenUsed/>
    <w:qFormat/>
    <w:rsid w:val="00F779F4"/>
    <w:pPr>
      <w:keepNext/>
      <w:keepLines/>
      <w:spacing w:before="200"/>
      <w:outlineLvl w:val="1"/>
    </w:pPr>
    <w:rPr>
      <w:rFonts w:eastAsiaTheme="majorEastAsia"/>
      <w:b/>
      <w:bCs/>
      <w:i/>
      <w:iCs/>
      <w:sz w:val="22"/>
      <w:szCs w:val="22"/>
    </w:rPr>
  </w:style>
  <w:style w:type="paragraph" w:styleId="Heading3">
    <w:name w:val="heading 3"/>
    <w:basedOn w:val="Normal"/>
    <w:next w:val="Normal"/>
    <w:link w:val="Heading3Char"/>
    <w:uiPriority w:val="9"/>
    <w:unhideWhenUsed/>
    <w:qFormat/>
    <w:rsid w:val="00BB00C6"/>
    <w:pPr>
      <w:keepNext/>
      <w:keepLines/>
      <w:spacing w:before="200"/>
      <w:outlineLvl w:val="2"/>
    </w:pPr>
    <w:rPr>
      <w:rFonts w:asciiTheme="minorHAnsi" w:eastAsiaTheme="majorEastAsia" w:hAnsiTheme="minorHAnsi" w:cstheme="majorBidi"/>
      <w:b/>
      <w:bCs/>
      <w:sz w:val="20"/>
      <w:szCs w:val="20"/>
    </w:rPr>
  </w:style>
  <w:style w:type="paragraph" w:styleId="Heading4">
    <w:name w:val="heading 4"/>
    <w:basedOn w:val="Normal"/>
    <w:next w:val="Normal"/>
    <w:link w:val="Heading4Char"/>
    <w:uiPriority w:val="9"/>
    <w:unhideWhenUsed/>
    <w:qFormat/>
    <w:rsid w:val="00D35771"/>
    <w:pPr>
      <w:keepNext/>
      <w:keepLines/>
      <w:spacing w:before="200"/>
      <w:outlineLvl w:val="3"/>
    </w:pPr>
    <w:rPr>
      <w:rFonts w:ascii="Arial" w:eastAsiaTheme="majorEastAsia" w:hAnsi="Arial" w:cs="Arial"/>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1CEC"/>
    <w:pPr>
      <w:tabs>
        <w:tab w:val="center" w:pos="4680"/>
        <w:tab w:val="right" w:pos="9360"/>
      </w:tabs>
    </w:pPr>
  </w:style>
  <w:style w:type="character" w:customStyle="1" w:styleId="HeaderChar">
    <w:name w:val="Header Char"/>
    <w:basedOn w:val="DefaultParagraphFont"/>
    <w:link w:val="Header"/>
    <w:uiPriority w:val="99"/>
    <w:locked/>
    <w:rsid w:val="00711CEC"/>
    <w:rPr>
      <w:rFonts w:cs="Times New Roman"/>
    </w:rPr>
  </w:style>
  <w:style w:type="paragraph" w:styleId="Footer">
    <w:name w:val="footer"/>
    <w:basedOn w:val="Normal"/>
    <w:link w:val="FooterChar"/>
    <w:uiPriority w:val="99"/>
    <w:unhideWhenUsed/>
    <w:rsid w:val="00711CEC"/>
    <w:pPr>
      <w:tabs>
        <w:tab w:val="center" w:pos="4680"/>
        <w:tab w:val="right" w:pos="9360"/>
      </w:tabs>
    </w:pPr>
  </w:style>
  <w:style w:type="character" w:customStyle="1" w:styleId="FooterChar">
    <w:name w:val="Footer Char"/>
    <w:basedOn w:val="DefaultParagraphFont"/>
    <w:link w:val="Footer"/>
    <w:uiPriority w:val="99"/>
    <w:locked/>
    <w:rsid w:val="00711CEC"/>
    <w:rPr>
      <w:rFonts w:cs="Times New Roman"/>
    </w:rPr>
  </w:style>
  <w:style w:type="character" w:styleId="CommentReference">
    <w:name w:val="annotation reference"/>
    <w:basedOn w:val="DefaultParagraphFont"/>
    <w:uiPriority w:val="99"/>
    <w:semiHidden/>
    <w:unhideWhenUsed/>
    <w:rsid w:val="00711CEC"/>
    <w:rPr>
      <w:rFonts w:cs="Times New Roman"/>
      <w:sz w:val="16"/>
      <w:szCs w:val="16"/>
    </w:rPr>
  </w:style>
  <w:style w:type="paragraph" w:styleId="CommentText">
    <w:name w:val="annotation text"/>
    <w:basedOn w:val="Normal"/>
    <w:link w:val="CommentTextChar"/>
    <w:uiPriority w:val="99"/>
    <w:unhideWhenUsed/>
    <w:rsid w:val="00711CEC"/>
    <w:rPr>
      <w:sz w:val="20"/>
      <w:szCs w:val="20"/>
    </w:rPr>
  </w:style>
  <w:style w:type="character" w:customStyle="1" w:styleId="CommentTextChar">
    <w:name w:val="Comment Text Char"/>
    <w:basedOn w:val="DefaultParagraphFont"/>
    <w:link w:val="CommentText"/>
    <w:uiPriority w:val="99"/>
    <w:locked/>
    <w:rsid w:val="00711CEC"/>
    <w:rPr>
      <w:rFonts w:cs="Times New Roman"/>
      <w:sz w:val="20"/>
      <w:szCs w:val="20"/>
    </w:rPr>
  </w:style>
  <w:style w:type="paragraph" w:styleId="CommentSubject">
    <w:name w:val="annotation subject"/>
    <w:basedOn w:val="CommentText"/>
    <w:next w:val="CommentText"/>
    <w:link w:val="CommentSubjectChar"/>
    <w:uiPriority w:val="99"/>
    <w:semiHidden/>
    <w:unhideWhenUsed/>
    <w:rsid w:val="00711CEC"/>
    <w:rPr>
      <w:b/>
      <w:bCs/>
    </w:rPr>
  </w:style>
  <w:style w:type="character" w:customStyle="1" w:styleId="CommentSubjectChar">
    <w:name w:val="Comment Subject Char"/>
    <w:basedOn w:val="CommentTextChar"/>
    <w:link w:val="CommentSubject"/>
    <w:uiPriority w:val="99"/>
    <w:semiHidden/>
    <w:locked/>
    <w:rsid w:val="00711CEC"/>
    <w:rPr>
      <w:rFonts w:cs="Times New Roman"/>
      <w:b/>
      <w:bCs/>
      <w:sz w:val="20"/>
      <w:szCs w:val="20"/>
    </w:rPr>
  </w:style>
  <w:style w:type="paragraph" w:styleId="BalloonText">
    <w:name w:val="Balloon Text"/>
    <w:basedOn w:val="Normal"/>
    <w:link w:val="BalloonTextChar"/>
    <w:uiPriority w:val="99"/>
    <w:semiHidden/>
    <w:unhideWhenUsed/>
    <w:rsid w:val="00711CE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11CEC"/>
    <w:rPr>
      <w:rFonts w:ascii="Tahoma" w:hAnsi="Tahoma" w:cs="Tahoma"/>
      <w:sz w:val="16"/>
      <w:szCs w:val="16"/>
    </w:rPr>
  </w:style>
  <w:style w:type="character" w:customStyle="1" w:styleId="Heading1Char">
    <w:name w:val="Heading 1 Char"/>
    <w:basedOn w:val="DefaultParagraphFont"/>
    <w:link w:val="Heading1"/>
    <w:uiPriority w:val="9"/>
    <w:rsid w:val="00035A7E"/>
    <w:rPr>
      <w:rFonts w:ascii="Arial" w:eastAsiaTheme="majorEastAsia" w:hAnsi="Arial" w:cs="Arial"/>
      <w:b/>
      <w:bCs/>
      <w:sz w:val="24"/>
      <w:szCs w:val="24"/>
      <w:lang w:bidi="ar-SA"/>
    </w:rPr>
  </w:style>
  <w:style w:type="character" w:customStyle="1" w:styleId="Heading2Char">
    <w:name w:val="Heading 2 Char"/>
    <w:basedOn w:val="DefaultParagraphFont"/>
    <w:link w:val="Heading2"/>
    <w:uiPriority w:val="9"/>
    <w:rsid w:val="00F779F4"/>
    <w:rPr>
      <w:rFonts w:ascii="Times New Roman" w:eastAsiaTheme="majorEastAsia" w:hAnsi="Times New Roman"/>
      <w:b/>
      <w:bCs/>
      <w:i/>
      <w:iCs/>
      <w:lang w:bidi="ar-SA"/>
    </w:rPr>
  </w:style>
  <w:style w:type="character" w:customStyle="1" w:styleId="Heading3Char">
    <w:name w:val="Heading 3 Char"/>
    <w:basedOn w:val="DefaultParagraphFont"/>
    <w:link w:val="Heading3"/>
    <w:uiPriority w:val="9"/>
    <w:rsid w:val="00BB00C6"/>
    <w:rPr>
      <w:rFonts w:eastAsiaTheme="majorEastAsia" w:cstheme="majorBidi"/>
      <w:b/>
      <w:bCs/>
      <w:sz w:val="20"/>
      <w:szCs w:val="20"/>
      <w:lang w:bidi="ar-SA"/>
    </w:rPr>
  </w:style>
  <w:style w:type="character" w:customStyle="1" w:styleId="Heading4Char">
    <w:name w:val="Heading 4 Char"/>
    <w:basedOn w:val="DefaultParagraphFont"/>
    <w:link w:val="Heading4"/>
    <w:uiPriority w:val="9"/>
    <w:rsid w:val="00D35771"/>
    <w:rPr>
      <w:rFonts w:ascii="Arial" w:eastAsiaTheme="majorEastAsia" w:hAnsi="Arial" w:cs="Arial"/>
      <w:sz w:val="16"/>
      <w:szCs w:val="16"/>
      <w:lang w:bidi="ar-SA"/>
    </w:rPr>
  </w:style>
  <w:style w:type="character" w:styleId="FootnoteReference">
    <w:name w:val="footnote reference"/>
    <w:rsid w:val="000E2132"/>
    <w:rPr>
      <w:vertAlign w:val="superscript"/>
    </w:rPr>
  </w:style>
  <w:style w:type="paragraph" w:styleId="FootnoteText">
    <w:name w:val="footnote text"/>
    <w:aliases w:val="Footnote Text Char1 Char,Footnote Text Char Char Char,Footnote Text Char1 Char Char Char,f t Char1 Char Char Char,ft Char1 Char Char Char,Footnote Text Char Char Char Char Char,f t Char Char Char Char Char,f t Char Char"/>
    <w:basedOn w:val="Normal"/>
    <w:link w:val="FootnoteTextChar"/>
    <w:rsid w:val="000E2132"/>
    <w:pPr>
      <w:overflowPunct w:val="0"/>
      <w:autoSpaceDE w:val="0"/>
      <w:autoSpaceDN w:val="0"/>
      <w:adjustRightInd w:val="0"/>
      <w:spacing w:line="240" w:lineRule="auto"/>
      <w:textAlignment w:val="baseline"/>
    </w:pPr>
    <w:rPr>
      <w:rFonts w:eastAsia="Times New Roman"/>
      <w:sz w:val="20"/>
      <w:szCs w:val="20"/>
      <w:lang w:bidi="he-IL"/>
    </w:rPr>
  </w:style>
  <w:style w:type="character" w:customStyle="1" w:styleId="FootnoteTextChar">
    <w:name w:val="Footnote Text Char"/>
    <w:aliases w:val="Footnote Text Char1 Char Char,Footnote Text Char Char Char Char,Footnote Text Char1 Char Char Char Char,f t Char1 Char Char Char Char,ft Char1 Char Char Char Char,Footnote Text Char Char Char Char Char Char,f t Char Char Char"/>
    <w:basedOn w:val="DefaultParagraphFont"/>
    <w:link w:val="FootnoteText"/>
    <w:rsid w:val="000E2132"/>
    <w:rPr>
      <w:rFonts w:ascii="Times New Roman" w:eastAsia="Times New Roman" w:hAnsi="Times New Roman"/>
      <w:sz w:val="20"/>
      <w:szCs w:val="20"/>
      <w:lang w:bidi="he-IL"/>
    </w:rPr>
  </w:style>
  <w:style w:type="paragraph" w:styleId="ListParagraph">
    <w:name w:val="List Paragraph"/>
    <w:basedOn w:val="Normal"/>
    <w:uiPriority w:val="34"/>
    <w:qFormat/>
    <w:rsid w:val="000E2132"/>
    <w:pPr>
      <w:spacing w:line="240" w:lineRule="auto"/>
      <w:ind w:left="72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estlaw.com/Find/Default.wl?rs=dfa1.0&amp;vr=2.0&amp;DB=711&amp;FindType=Y&amp;SerialNum=1981138891" TargetMode="External"/><Relationship Id="rId18" Type="http://schemas.openxmlformats.org/officeDocument/2006/relationships/hyperlink" Target="http://www.westlaw.com/Find/Default.wl?rs=dfa1.0&amp;vr=2.0&amp;DB=595&amp;FindType=Y&amp;SerialNum=1987030272" TargetMode="External"/><Relationship Id="rId26" Type="http://schemas.openxmlformats.org/officeDocument/2006/relationships/hyperlink" Target="http://www.westlaw.com/Find/Default.wl?rs=dfa1.0&amp;vr=2.0&amp;DB=711&amp;FindType=Y&amp;SerialNum=1994149843" TargetMode="External"/><Relationship Id="rId39" Type="http://schemas.openxmlformats.org/officeDocument/2006/relationships/hyperlink" Target="http://www.westlaw.com/Link/Document/FullText?findType=h&amp;pubNum=176284&amp;cite=0278912801&amp;originatingDoc=I731368c5038011dabf60c1d57ebc853e&amp;refType=RQ&amp;originationContext=document&amp;vr=3.0&amp;rs=cblt1.0&amp;transitionType=DocumentItem&amp;contextData=(sc.UserEnteredCitation)" TargetMode="External"/><Relationship Id="rId21" Type="http://schemas.openxmlformats.org/officeDocument/2006/relationships/hyperlink" Target="http://www.westlaw.com/Find/Default.wl?rs=dfa1.0&amp;vr=2.0&amp;FindType=Y&amp;SerialNum=1980123316" TargetMode="External"/><Relationship Id="rId34" Type="http://schemas.openxmlformats.org/officeDocument/2006/relationships/hyperlink" Target="http://www.westlaw.com/Link/Document/FullText?findType=h&amp;pubNum=176284&amp;cite=0228741301&amp;originatingDoc=I731368c5038011dabf60c1d57ebc853e&amp;refType=RQ&amp;originationContext=document&amp;vr=3.0&amp;rs=cblt1.0&amp;transitionType=DocumentItem&amp;contextData=(sc.UserEnteredCitation)" TargetMode="External"/><Relationship Id="rId42" Type="http://schemas.openxmlformats.org/officeDocument/2006/relationships/hyperlink" Target="http://www.westlaw.com/Link/Document/FullText?findType=h&amp;pubNum=176284&amp;cite=0228741301&amp;originatingDoc=I731368c5038011dabf60c1d57ebc853e&amp;refType=RQ&amp;originationContext=document&amp;vr=3.0&amp;rs=cblt1.0&amp;transitionType=DocumentItem&amp;contextData=(sc.UserEnteredCitation)" TargetMode="External"/><Relationship Id="rId47" Type="http://schemas.openxmlformats.org/officeDocument/2006/relationships/hyperlink" Target="http://www.westlaw.com/Link/Document/FullText?findType=Y&amp;serNum=1977113487&amp;originatingDoc=I731368c5038011dabf60c1d57ebc853e&amp;refType=RP&amp;originationContext=document&amp;vr=3.0&amp;rs=cblt1.0&amp;transitionType=DocumentItem&amp;contextData=(sc.UserEnteredCitation)" TargetMode="External"/><Relationship Id="rId50" Type="http://schemas.openxmlformats.org/officeDocument/2006/relationships/hyperlink" Target="http://www.westlaw.com/Link/Document/FullText?findType=Y&amp;serNum=1981138891&amp;pubNum=711&amp;originatingDoc=I731368c5038011dabf60c1d57ebc853e&amp;refType=RP&amp;originationContext=document&amp;vr=3.0&amp;rs=cblt1.0&amp;transitionType=DocumentItem&amp;contextData=(sc.UserEnteredCitation)" TargetMode="External"/><Relationship Id="rId55" Type="http://schemas.openxmlformats.org/officeDocument/2006/relationships/hyperlink" Target="http://www.westlaw.com/Link/Document/FullText?findType=Y&amp;serNum=1979101002&amp;pubNum=227&amp;originatingDoc=I731368c5038011dabf60c1d57ebc853e&amp;refType=RP&amp;originationContext=document&amp;vr=3.0&amp;rs=cblt1.0&amp;transitionType=DocumentItem&amp;contextData=(sc.UserEnteredCitation)" TargetMode="External"/><Relationship Id="rId63" Type="http://schemas.openxmlformats.org/officeDocument/2006/relationships/hyperlink" Target="http://www.westlaw.com/Link/Document/FullText?findType=L&amp;pubNum=1000468&amp;cite=GAST13-3-44&amp;originatingDoc=I731368c5038011dabf60c1d57ebc853e&amp;refType=LQ&amp;originationContext=document&amp;vr=3.0&amp;rs=cblt1.0&amp;transitionType=DocumentItem&amp;contextData=(sc.UserEnteredCitation)" TargetMode="External"/><Relationship Id="rId68" Type="http://schemas.openxmlformats.org/officeDocument/2006/relationships/hyperlink" Target="http://www.westlaw.com/Link/Document/FullText?findType=Y&amp;serNum=1981138891&amp;pubNum=711&amp;originatingDoc=I731368c5038011dabf60c1d57ebc853e&amp;refType=RP&amp;originationContext=document&amp;vr=3.0&amp;rs=cblt1.0&amp;transitionType=DocumentItem&amp;contextData=(sc.UserEnteredCitation)" TargetMode="External"/><Relationship Id="rId7" Type="http://schemas.openxmlformats.org/officeDocument/2006/relationships/hyperlink" Target="http://www.westlaw.com/Find/Default.wl?rs=dfa1.0&amp;vr=2.0&amp;FindType=Y&amp;SerialNum=1977113487" TargetMode="External"/><Relationship Id="rId71" Type="http://schemas.openxmlformats.org/officeDocument/2006/relationships/hyperlink" Target="http://www.westlaw.com/Link/Document/FullText?findType=Y&amp;serNum=1986130350&amp;pubNum=711&amp;originatingDoc=I731368c5038011dabf60c1d57ebc853e&amp;refType=RP&amp;originationContext=document&amp;vr=3.0&amp;rs=cblt1.0&amp;transitionType=DocumentItem&amp;contextData=(sc.UserEnteredCitation)" TargetMode="External"/><Relationship Id="rId2" Type="http://schemas.openxmlformats.org/officeDocument/2006/relationships/styles" Target="styles.xml"/><Relationship Id="rId16" Type="http://schemas.openxmlformats.org/officeDocument/2006/relationships/hyperlink" Target="http://www.westlaw.com/Find/Default.wl?rs=dfa1.0&amp;vr=2.0&amp;DB=711&amp;FindType=Y&amp;SerialNum=1989074101" TargetMode="External"/><Relationship Id="rId29" Type="http://schemas.openxmlformats.org/officeDocument/2006/relationships/hyperlink" Target="http://www.westlaw.com/Find/Default.wl?rs=dfa1.0&amp;vr=2.0&amp;DB=711&amp;FindType=Y&amp;SerialNum=1993202204" TargetMode="External"/><Relationship Id="rId11" Type="http://schemas.openxmlformats.org/officeDocument/2006/relationships/hyperlink" Target="http://www.westlaw.com/Find/Default.wl?rs=dfa1.0&amp;vr=2.0&amp;DB=711&amp;FindType=Y&amp;SerialNum=1981143437" TargetMode="External"/><Relationship Id="rId24" Type="http://schemas.openxmlformats.org/officeDocument/2006/relationships/hyperlink" Target="http://www.westlaw.com/Find/Default.wl?rs=dfa1.0&amp;vr=2.0&amp;DB=578&amp;FindType=Y&amp;SerialNum=1978190634" TargetMode="External"/><Relationship Id="rId32" Type="http://schemas.microsoft.com/office/2016/09/relationships/commentsIds" Target="commentsIds.xml"/><Relationship Id="rId37" Type="http://schemas.openxmlformats.org/officeDocument/2006/relationships/hyperlink" Target="http://www.westlaw.com/Link/Document/FullText?findType=h&amp;pubNum=176284&amp;cite=0330903901&amp;originatingDoc=I731368c5038011dabf60c1d57ebc853e&amp;refType=RQ&amp;originationContext=document&amp;vr=3.0&amp;rs=cblt1.0&amp;transitionType=DocumentItem&amp;contextData=(sc.UserEnteredCitation)" TargetMode="External"/><Relationship Id="rId40" Type="http://schemas.openxmlformats.org/officeDocument/2006/relationships/hyperlink" Target="http://www.westlaw.com/Link/Document/FullText?findType=h&amp;pubNum=176284&amp;cite=0174395301&amp;originatingDoc=I731368c5038011dabf60c1d57ebc853e&amp;refType=RQ&amp;originationContext=document&amp;vr=3.0&amp;rs=cblt1.0&amp;transitionType=DocumentItem&amp;contextData=(sc.UserEnteredCitation)" TargetMode="External"/><Relationship Id="rId45" Type="http://schemas.openxmlformats.org/officeDocument/2006/relationships/hyperlink" Target="http://www.westlaw.com/Link/Document/FullText?findType=Y&amp;serNum=1963009832&amp;pubNum=107&amp;originatingDoc=I731368c5038011dabf60c1d57ebc853e&amp;refType=RP&amp;originationContext=document&amp;vr=3.0&amp;rs=cblt1.0&amp;transitionType=DocumentItem&amp;contextData=(sc.UserEnteredCitation)" TargetMode="External"/><Relationship Id="rId53" Type="http://schemas.openxmlformats.org/officeDocument/2006/relationships/hyperlink" Target="http://www.westlaw.com/Link/Document/FullText?findType=Y&amp;serNum=1987030272&amp;pubNum=595&amp;originatingDoc=I731368c5038011dabf60c1d57ebc853e&amp;refType=RP&amp;originationContext=document&amp;vr=3.0&amp;rs=cblt1.0&amp;transitionType=DocumentItem&amp;contextData=(sc.UserEnteredCitation)" TargetMode="External"/><Relationship Id="rId58" Type="http://schemas.openxmlformats.org/officeDocument/2006/relationships/hyperlink" Target="http://www.westlaw.com/Link/Document/FullText?findType=h&amp;pubNum=176284&amp;cite=0226641301&amp;originatingDoc=I731368c5038011dabf60c1d57ebc853e&amp;refType=RQ&amp;originationContext=document&amp;vr=3.0&amp;rs=cblt1.0&amp;transitionType=DocumentItem&amp;contextData=(sc.UserEnteredCitation)" TargetMode="External"/><Relationship Id="rId66" Type="http://schemas.openxmlformats.org/officeDocument/2006/relationships/hyperlink" Target="http://www.westlaw.com/Link/Document/FullText?findType=Y&amp;serNum=0289906979&amp;pubNum=0101603&amp;originatingDoc=I731368c5038011dabf60c1d57ebc853e&amp;refType=TS&amp;originationContext=document&amp;vr=3.0&amp;rs=cblt1.0&amp;transitionType=DocumentItem&amp;contextData=(sc.UserEnteredCitation)" TargetMode="External"/><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westlaw.com/Find/Default.wl?rs=dfa1.0&amp;vr=2.0&amp;DB=735&amp;FindType=Y&amp;ReferencePositionType=S&amp;SerialNum=1980123316&amp;ReferencePosition=12" TargetMode="External"/><Relationship Id="rId23" Type="http://schemas.openxmlformats.org/officeDocument/2006/relationships/hyperlink" Target="http://www.westlaw.com/Find/Default.wl?rs=dfa1.0&amp;vr=2.0&amp;DB=227&amp;FindType=Y&amp;SerialNum=1979101002" TargetMode="External"/><Relationship Id="rId28" Type="http://schemas.openxmlformats.org/officeDocument/2006/relationships/hyperlink" Target="http://www.westlaw.com/Find/Default.wl?rs=dfa1.0&amp;vr=2.0&amp;DB=711&amp;FindType=Y&amp;SerialNum=1993202204" TargetMode="External"/><Relationship Id="rId36" Type="http://schemas.openxmlformats.org/officeDocument/2006/relationships/hyperlink" Target="http://www.westlaw.com/Link/Document/FullText?findType=h&amp;pubNum=176284&amp;cite=0206661901&amp;originatingDoc=I731368c5038011dabf60c1d57ebc853e&amp;refType=RQ&amp;originationContext=document&amp;vr=3.0&amp;rs=cblt1.0&amp;transitionType=DocumentItem&amp;contextData=(sc.UserEnteredCitation)" TargetMode="External"/><Relationship Id="rId49" Type="http://schemas.openxmlformats.org/officeDocument/2006/relationships/hyperlink" Target="http://www.westlaw.com/Link/Document/FullText?findType=Y&amp;serNum=1981143437&amp;pubNum=711&amp;originatingDoc=I731368c5038011dabf60c1d57ebc853e&amp;refType=RP&amp;originationContext=document&amp;vr=3.0&amp;rs=cblt1.0&amp;transitionType=DocumentItem&amp;contextData=(sc.UserEnteredCitation)" TargetMode="External"/><Relationship Id="rId57" Type="http://schemas.openxmlformats.org/officeDocument/2006/relationships/hyperlink" Target="http://www.westlaw.com/Link/Document/FullText?findType=h&amp;pubNum=176284&amp;cite=0206661901&amp;originatingDoc=I731368c5038011dabf60c1d57ebc853e&amp;refType=RQ&amp;originationContext=document&amp;vr=3.0&amp;rs=cblt1.0&amp;transitionType=DocumentItem&amp;contextData=(sc.UserEnteredCitation)" TargetMode="External"/><Relationship Id="rId61" Type="http://schemas.openxmlformats.org/officeDocument/2006/relationships/hyperlink" Target="http://www.westlaw.com/Link/Document/FullText?findType=Y&amp;serNum=1993202204&amp;pubNum=711&amp;originatingDoc=I731368c5038011dabf60c1d57ebc853e&amp;refType=RP&amp;originationContext=document&amp;vr=3.0&amp;rs=cblt1.0&amp;transitionType=DocumentItem&amp;contextData=(sc.UserEnteredCitation)" TargetMode="External"/><Relationship Id="rId10" Type="http://schemas.openxmlformats.org/officeDocument/2006/relationships/hyperlink" Target="http://www.westlaw.com/Find/Default.wl?rs=dfa1.0&amp;vr=2.0&amp;DB=711&amp;FindType=Y&amp;SerialNum=1981143437" TargetMode="External"/><Relationship Id="rId19" Type="http://schemas.openxmlformats.org/officeDocument/2006/relationships/hyperlink" Target="http://www.westlaw.com/Find/Default.wl?rs=dfa1.0&amp;vr=2.0&amp;DB=595&amp;FindType=Y&amp;SerialNum=1987030272" TargetMode="External"/><Relationship Id="rId31" Type="http://schemas.microsoft.com/office/2011/relationships/commentsExtended" Target="commentsExtended.xml"/><Relationship Id="rId44" Type="http://schemas.openxmlformats.org/officeDocument/2006/relationships/hyperlink" Target="http://www.westlaw.com/Link/Document/FullText?findType=Y&amp;serNum=1982128011&amp;pubNum=735&amp;originatingDoc=I731368c5038011dabf60c1d57ebc853e&amp;refType=RP&amp;fi=co_pp_sp_735_819&amp;originationContext=document&amp;vr=3.0&amp;rs=cblt1.0&amp;transitionType=DocumentItem&amp;contextData=(sc.UserEnteredCitation)" TargetMode="External"/><Relationship Id="rId52" Type="http://schemas.openxmlformats.org/officeDocument/2006/relationships/hyperlink" Target="http://www.westlaw.com/Link/Document/FullText?findType=Y&amp;serNum=1989074101&amp;pubNum=711&amp;originatingDoc=I731368c5038011dabf60c1d57ebc853e&amp;refType=RP&amp;originationContext=document&amp;vr=3.0&amp;rs=cblt1.0&amp;transitionType=DocumentItem&amp;contextData=(sc.UserEnteredCitation)" TargetMode="External"/><Relationship Id="rId60" Type="http://schemas.openxmlformats.org/officeDocument/2006/relationships/hyperlink" Target="http://www.westlaw.com/Link/Document/FullText?findType=Y&amp;serNum=1994149843&amp;pubNum=711&amp;originatingDoc=I731368c5038011dabf60c1d57ebc853e&amp;refType=RP&amp;originationContext=document&amp;vr=3.0&amp;rs=cblt1.0&amp;transitionType=DocumentItem&amp;contextData=(sc.UserEnteredCitation)" TargetMode="External"/><Relationship Id="rId65" Type="http://schemas.openxmlformats.org/officeDocument/2006/relationships/hyperlink" Target="http://www.westlaw.com/Link/Document/FullText?findType=Y&amp;serNum=1981138891&amp;pubNum=711&amp;originatingDoc=I731368c5038011dabf60c1d57ebc853e&amp;refType=RP&amp;originationContext=document&amp;vr=3.0&amp;rs=cblt1.0&amp;transitionType=DocumentItem&amp;contextData=(sc.UserEnteredCitation)"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westlaw.com/Find/Default.wl?rs=dfa1.0&amp;vr=2.0&amp;DB=1000468&amp;DocName=GAST13-3-44&amp;FindType=L" TargetMode="External"/><Relationship Id="rId14" Type="http://schemas.openxmlformats.org/officeDocument/2006/relationships/hyperlink" Target="http://www.westlaw.com/Find/Default.wl?rs=dfa1.0&amp;vr=2.0&amp;DB=735&amp;FindType=Y&amp;ReferencePositionType=S&amp;SerialNum=1980123316&amp;ReferencePosition=12" TargetMode="External"/><Relationship Id="rId22" Type="http://schemas.openxmlformats.org/officeDocument/2006/relationships/hyperlink" Target="http://www.westlaw.com/Find/Default.wl?rs=dfa1.0&amp;vr=2.0&amp;DB=227&amp;FindType=Y&amp;SerialNum=1979101002" TargetMode="External"/><Relationship Id="rId27" Type="http://schemas.openxmlformats.org/officeDocument/2006/relationships/hyperlink" Target="http://www.westlaw.com/Find/Default.wl?rs=dfa1.0&amp;vr=2.0&amp;DB=711&amp;FindType=Y&amp;SerialNum=1994149843" TargetMode="External"/><Relationship Id="rId30" Type="http://schemas.openxmlformats.org/officeDocument/2006/relationships/comments" Target="comments.xml"/><Relationship Id="rId35" Type="http://schemas.openxmlformats.org/officeDocument/2006/relationships/hyperlink" Target="http://www.westlaw.com/Link/Document/FullText?findType=h&amp;pubNum=176284&amp;cite=0226641301&amp;originatingDoc=I731368c5038011dabf60c1d57ebc853e&amp;refType=RQ&amp;originationContext=document&amp;vr=3.0&amp;rs=cblt1.0&amp;transitionType=DocumentItem&amp;contextData=(sc.UserEnteredCitation)" TargetMode="External"/><Relationship Id="rId43" Type="http://schemas.openxmlformats.org/officeDocument/2006/relationships/hyperlink" Target="http://www.westlaw.com/Link/Document/FullText?findType=L&amp;pubNum=1000468&amp;cite=GAST19-8-19&amp;originatingDoc=I731368c5038011dabf60c1d57ebc853e&amp;refType=LQ&amp;originationContext=document&amp;vr=3.0&amp;rs=cblt1.0&amp;transitionType=DocumentItem&amp;contextData=(sc.UserEnteredCitation)" TargetMode="External"/><Relationship Id="rId48" Type="http://schemas.openxmlformats.org/officeDocument/2006/relationships/hyperlink" Target="http://www.westlaw.com/Link/Document/FullText?findType=L&amp;pubNum=1000468&amp;cite=GAST13-3-44&amp;originatingDoc=I731368c5038011dabf60c1d57ebc853e&amp;refType=LQ&amp;originationContext=document&amp;vr=3.0&amp;rs=cblt1.0&amp;transitionType=DocumentItem&amp;contextData=(sc.UserEnteredCitation)" TargetMode="External"/><Relationship Id="rId56" Type="http://schemas.openxmlformats.org/officeDocument/2006/relationships/hyperlink" Target="http://www.westlaw.com/Link/Document/FullText?findType=Y&amp;serNum=1978190634&amp;pubNum=578&amp;originatingDoc=I731368c5038011dabf60c1d57ebc853e&amp;refType=RP&amp;originationContext=document&amp;vr=3.0&amp;rs=cblt1.0&amp;transitionType=DocumentItem&amp;contextData=(sc.UserEnteredCitation)" TargetMode="External"/><Relationship Id="rId64" Type="http://schemas.openxmlformats.org/officeDocument/2006/relationships/hyperlink" Target="http://www.westlaw.com/Link/Document/FullText?findType=Y&amp;serNum=1981143437&amp;pubNum=711&amp;originatingDoc=I731368c5038011dabf60c1d57ebc853e&amp;refType=RP&amp;originationContext=document&amp;vr=3.0&amp;rs=cblt1.0&amp;transitionType=DocumentItem&amp;contextData=(sc.UserEnteredCitation)" TargetMode="External"/><Relationship Id="rId69" Type="http://schemas.openxmlformats.org/officeDocument/2006/relationships/hyperlink" Target="http://www.westlaw.com/Link/Document/FullText?findType=Y&amp;serNum=1957121757&amp;pubNum=711&amp;originatingDoc=I731368c5038011dabf60c1d57ebc853e&amp;refType=RP&amp;originationContext=document&amp;vr=3.0&amp;rs=cblt1.0&amp;transitionType=DocumentItem&amp;contextData=(sc.UserEnteredCitation)" TargetMode="External"/><Relationship Id="rId8" Type="http://schemas.openxmlformats.org/officeDocument/2006/relationships/hyperlink" Target="http://www.westlaw.com/Find/Default.wl?rs=dfa1.0&amp;vr=2.0&amp;FindType=Y&amp;SerialNum=1977113487" TargetMode="External"/><Relationship Id="rId51" Type="http://schemas.openxmlformats.org/officeDocument/2006/relationships/hyperlink" Target="http://www.westlaw.com/Link/Document/FullText?findType=Y&amp;serNum=1980123316&amp;pubNum=735&amp;originatingDoc=I731368c5038011dabf60c1d57ebc853e&amp;refType=RP&amp;fi=co_pp_sp_735_12&amp;originationContext=document&amp;vr=3.0&amp;rs=cblt1.0&amp;transitionType=DocumentItem&amp;contextData=(sc.UserEnteredCitation)" TargetMode="External"/><Relationship Id="rId72" Type="http://schemas.openxmlformats.org/officeDocument/2006/relationships/hyperlink" Target="http://www.westlaw.com/Link/Document/FullText?findType=Y&amp;serNum=1991042315&amp;originatingDoc=I731368c5038011dabf60c1d57ebc853e&amp;refType=RP&amp;originationContext=document&amp;vr=3.0&amp;rs=cblt1.0&amp;transitionType=DocumentItem&amp;contextData=(sc.UserEnteredCitation)" TargetMode="External"/><Relationship Id="rId3" Type="http://schemas.openxmlformats.org/officeDocument/2006/relationships/settings" Target="settings.xml"/><Relationship Id="rId12" Type="http://schemas.openxmlformats.org/officeDocument/2006/relationships/hyperlink" Target="http://www.westlaw.com/Find/Default.wl?rs=dfa1.0&amp;vr=2.0&amp;DB=711&amp;FindType=Y&amp;SerialNum=1981138891" TargetMode="External"/><Relationship Id="rId17" Type="http://schemas.openxmlformats.org/officeDocument/2006/relationships/hyperlink" Target="http://www.westlaw.com/Find/Default.wl?rs=dfa1.0&amp;vr=2.0&amp;DB=711&amp;FindType=Y&amp;SerialNum=1989074101" TargetMode="External"/><Relationship Id="rId25" Type="http://schemas.openxmlformats.org/officeDocument/2006/relationships/hyperlink" Target="http://www.westlaw.com/Find/Default.wl?rs=dfa1.0&amp;vr=2.0&amp;DB=578&amp;FindType=Y&amp;SerialNum=1978190634" TargetMode="External"/><Relationship Id="rId33" Type="http://schemas.openxmlformats.org/officeDocument/2006/relationships/hyperlink" Target="http://www.westlaw.com/Link/Document/FullText?findType=h&amp;pubNum=176284&amp;cite=0330903901&amp;originatingDoc=I731368c5038011dabf60c1d57ebc853e&amp;refType=RQ&amp;originationContext=document&amp;vr=3.0&amp;rs=cblt1.0&amp;transitionType=DocumentItem&amp;contextData=(sc.UserEnteredCitation)" TargetMode="External"/><Relationship Id="rId38" Type="http://schemas.openxmlformats.org/officeDocument/2006/relationships/hyperlink" Target="http://www.westlaw.com/Link/Document/FullText?findType=h&amp;pubNum=176284&amp;cite=0155398101&amp;originatingDoc=I731368c5038011dabf60c1d57ebc853e&amp;refType=RQ&amp;originationContext=document&amp;vr=3.0&amp;rs=cblt1.0&amp;transitionType=DocumentItem&amp;contextData=(sc.UserEnteredCitation)" TargetMode="External"/><Relationship Id="rId46" Type="http://schemas.openxmlformats.org/officeDocument/2006/relationships/hyperlink" Target="http://www.westlaw.com/Link/Document/FullText?findType=Y&amp;serNum=1977113487&amp;pubNum=711&amp;originatingDoc=I731368c5038011dabf60c1d57ebc853e&amp;refType=RP&amp;originationContext=document&amp;vr=3.0&amp;rs=cblt1.0&amp;transitionType=DocumentItem&amp;contextData=(sc.UserEnteredCitation)" TargetMode="External"/><Relationship Id="rId59" Type="http://schemas.openxmlformats.org/officeDocument/2006/relationships/hyperlink" Target="http://www.westlaw.com/Link/Document/FullText?findType=h&amp;pubNum=176284&amp;cite=0206661901&amp;originatingDoc=I731368c5038011dabf60c1d57ebc853e&amp;refType=RQ&amp;originationContext=document&amp;vr=3.0&amp;rs=cblt1.0&amp;transitionType=DocumentItem&amp;contextData=(sc.UserEnteredCitation)" TargetMode="External"/><Relationship Id="rId67" Type="http://schemas.openxmlformats.org/officeDocument/2006/relationships/hyperlink" Target="http://www.westlaw.com/Link/Document/FullText?findType=Y&amp;serNum=1991042315&amp;pubNum=350&amp;originatingDoc=I731368c5038011dabf60c1d57ebc853e&amp;refType=RP&amp;fi=co_pp_sp_350_1371&amp;originationContext=document&amp;vr=3.0&amp;rs=cblt1.0&amp;transitionType=DocumentItem&amp;contextData=(sc.UserEnteredCitation)" TargetMode="External"/><Relationship Id="rId20" Type="http://schemas.openxmlformats.org/officeDocument/2006/relationships/hyperlink" Target="http://www.westlaw.com/Find/Default.wl?rs=dfa1.0&amp;vr=2.0&amp;FindType=Y&amp;SerialNum=1980123316" TargetMode="External"/><Relationship Id="rId41" Type="http://schemas.openxmlformats.org/officeDocument/2006/relationships/hyperlink" Target="http://www.westlaw.com/Link/Document/FullText?findType=h&amp;pubNum=176284&amp;cite=0214678801&amp;originatingDoc=I731368c5038011dabf60c1d57ebc853e&amp;refType=RQ&amp;originationContext=document&amp;vr=3.0&amp;rs=cblt1.0&amp;transitionType=DocumentItem&amp;contextData=(sc.UserEnteredCitation)" TargetMode="External"/><Relationship Id="rId54" Type="http://schemas.openxmlformats.org/officeDocument/2006/relationships/hyperlink" Target="http://www.westlaw.com/Link/Document/FullText?findType=Y&amp;serNum=1980123316&amp;originatingDoc=I731368c5038011dabf60c1d57ebc853e&amp;refType=RP&amp;originationContext=document&amp;vr=3.0&amp;rs=cblt1.0&amp;transitionType=DocumentItem&amp;contextData=(sc.UserEnteredCitation)" TargetMode="External"/><Relationship Id="rId62" Type="http://schemas.openxmlformats.org/officeDocument/2006/relationships/header" Target="header1.xml"/><Relationship Id="rId70" Type="http://schemas.openxmlformats.org/officeDocument/2006/relationships/hyperlink" Target="http://www.westlaw.com/Link/Document/FullText?findType=Y&amp;serNum=1987011919&amp;pubNum=711&amp;originatingDoc=I731368c5038011dabf60c1d57ebc853e&amp;refType=RP&amp;originationContext=document&amp;vr=3.0&amp;rs=cblt1.0&amp;transitionType=DocumentItem&amp;contextData=(sc.UserEnteredCitation)"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12</Pages>
  <Words>6689</Words>
  <Characters>38128</Characters>
  <Application>Microsoft Office Word</Application>
  <DocSecurity>0</DocSecurity>
  <Lines>317</Lines>
  <Paragraphs>89</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Logocratic Analysis and Jurisprudence of Logical Form</vt:lpstr>
      <vt:lpstr>    Note: tasks for a jurisprudence of logical form:  giving a fair formal represent</vt:lpstr>
      <vt:lpstr>    Central "rule enthymeme" (rule whose logical form is not explicit in its origina</vt:lpstr>
      <vt:lpstr>    "Rulified" rule (enthymeme whose logical form is made explicit)</vt:lpstr>
      <vt:lpstr>    using indent-right method of rulification</vt:lpstr>
      <vt:lpstr>    Exercise: Identify all relations of domination and subordination in Restatement </vt:lpstr>
      <vt:lpstr>        Rule enthymeme, Restatement (Second) of Contracts § 90(1)</vt:lpstr>
      <vt:lpstr>        Propositional elements of this rule enthymeme</vt:lpstr>
      <vt:lpstr>        Representation using symbolic method (see Govier Chapter 8 and other posted mate</vt:lpstr>
      <vt:lpstr>    Posted exercise: How can we use the indent-right method of rulification to repre</vt:lpstr>
      <vt:lpstr>        Rule 1: </vt:lpstr>
      <vt:lpstr>        Rule 2</vt:lpstr>
      <vt:lpstr>Key argument enthymemes in the three opinions</vt:lpstr>
      <vt:lpstr>        majority</vt:lpstr>
      <vt:lpstr>        concurrence</vt:lpstr>
      <vt:lpstr>    dissent</vt:lpstr>
      <vt:lpstr>    (1)</vt:lpstr>
      <vt:lpstr>    (2)</vt:lpstr>
      <vt:lpstr>    (3)</vt:lpstr>
      <vt:lpstr>Opinion --- argument enthymemes and rule enthymemes</vt:lpstr>
      <vt:lpstr/>
      <vt:lpstr/>
      <vt:lpstr/>
    </vt:vector>
  </TitlesOfParts>
  <Company/>
  <LinksUpToDate>false</LinksUpToDate>
  <CharactersWithSpaces>44728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sbrewer</dc:creator>
  <cp:lastModifiedBy>Brewer, Scott</cp:lastModifiedBy>
  <cp:revision>3</cp:revision>
  <dcterms:created xsi:type="dcterms:W3CDTF">2018-07-10T07:24:00Z</dcterms:created>
  <dcterms:modified xsi:type="dcterms:W3CDTF">2018-07-10T07:52:00Z</dcterms:modified>
</cp:coreProperties>
</file>