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B53046" w14:textId="2F0C1223" w:rsidR="0056165C" w:rsidRDefault="00E956C0" w:rsidP="00E956C0">
      <w:pPr>
        <w:jc w:val="center"/>
        <w:rPr>
          <w:b/>
          <w:bCs/>
        </w:rPr>
      </w:pPr>
      <w:r w:rsidRPr="00E956C0">
        <w:rPr>
          <w:b/>
          <w:bCs/>
        </w:rPr>
        <w:t>Summer School on Law and Logic</w:t>
      </w:r>
      <w:r w:rsidRPr="00E956C0">
        <w:rPr>
          <w:b/>
          <w:bCs/>
        </w:rPr>
        <w:br/>
      </w:r>
      <w:r w:rsidRPr="00E956C0">
        <w:rPr>
          <w:b/>
          <w:bCs/>
        </w:rPr>
        <w:br/>
        <w:t>1</w:t>
      </w:r>
      <w:r w:rsidR="007F4FCE">
        <w:rPr>
          <w:b/>
          <w:bCs/>
        </w:rPr>
        <w:t>0</w:t>
      </w:r>
      <w:r w:rsidRPr="00E956C0">
        <w:rPr>
          <w:b/>
          <w:bCs/>
        </w:rPr>
        <w:t xml:space="preserve"> July, 201</w:t>
      </w:r>
      <w:r w:rsidR="007F4FCE">
        <w:rPr>
          <w:b/>
          <w:bCs/>
        </w:rPr>
        <w:t>8</w:t>
      </w:r>
      <w:r w:rsidRPr="00E956C0">
        <w:rPr>
          <w:b/>
          <w:bCs/>
        </w:rPr>
        <w:br/>
      </w:r>
      <w:r w:rsidRPr="00E956C0">
        <w:rPr>
          <w:b/>
          <w:bCs/>
        </w:rPr>
        <w:br/>
        <w:t xml:space="preserve">Scott Brewer </w:t>
      </w:r>
      <w:r w:rsidRPr="00E956C0">
        <w:rPr>
          <w:b/>
          <w:bCs/>
        </w:rPr>
        <w:br/>
        <w:t xml:space="preserve"> (projection version 07-1</w:t>
      </w:r>
      <w:r w:rsidR="007F4FCE">
        <w:rPr>
          <w:b/>
          <w:bCs/>
        </w:rPr>
        <w:t>0</w:t>
      </w:r>
      <w:r w:rsidRPr="00E956C0">
        <w:rPr>
          <w:b/>
          <w:bCs/>
        </w:rPr>
        <w:t>-1</w:t>
      </w:r>
      <w:r w:rsidR="007F4FCE">
        <w:rPr>
          <w:b/>
          <w:bCs/>
        </w:rPr>
        <w:t>8</w:t>
      </w:r>
      <w:r w:rsidRPr="00E956C0">
        <w:rPr>
          <w:b/>
          <w:bCs/>
        </w:rPr>
        <w:t>)</w:t>
      </w:r>
      <w:r w:rsidRPr="00E956C0">
        <w:rPr>
          <w:rStyle w:val="FootnoteReference"/>
          <w:b/>
          <w:bCs/>
        </w:rPr>
        <w:footnoteReference w:id="1"/>
      </w:r>
    </w:p>
    <w:p w14:paraId="5109CB9D" w14:textId="77777777" w:rsidR="0056165C" w:rsidRDefault="0056165C" w:rsidP="0056165C">
      <w:pPr>
        <w:pStyle w:val="Heading1"/>
      </w:pPr>
      <w:r w:rsidRPr="0056165C">
        <w:t>Indent-right method of interpretation</w:t>
      </w:r>
      <w:r w:rsidR="00E956C0" w:rsidRPr="0056165C">
        <w:br/>
      </w:r>
    </w:p>
    <w:p w14:paraId="7FD52C3C" w14:textId="77777777" w:rsidR="00BA6A57" w:rsidRPr="0056165C" w:rsidRDefault="00BA6A57" w:rsidP="0056165C">
      <w:pPr>
        <w:pStyle w:val="Heading2"/>
      </w:pPr>
      <w:r w:rsidRPr="0056165C">
        <w:t>Background for this mode of representation:  Bangs Tapscott on concept of "domination" among truth-functional operators</w:t>
      </w:r>
    </w:p>
    <w:p w14:paraId="300EF0B6" w14:textId="77777777" w:rsidR="0056165C" w:rsidRDefault="0056165C" w:rsidP="00BA6A57"/>
    <w:p w14:paraId="483533C8" w14:textId="77777777" w:rsidR="00BA6A57" w:rsidRPr="00B76FE9" w:rsidRDefault="0056165C" w:rsidP="00BA6A57">
      <w:r>
        <w:t>W</w:t>
      </w:r>
      <w:r w:rsidR="00BA6A57" w:rsidRPr="00B76FE9">
        <w:t>e can make use of a concept that logician Bangs Tapscott refers to as "domination" among truth-functional operators.  Here are the basics of Tapscott's explanation:</w:t>
      </w:r>
    </w:p>
    <w:p w14:paraId="3C106C4E" w14:textId="77777777" w:rsidR="0056165C" w:rsidRDefault="0056165C" w:rsidP="00BA6A57">
      <w:pPr>
        <w:ind w:left="720"/>
      </w:pPr>
    </w:p>
    <w:p w14:paraId="5D17AE59" w14:textId="77777777" w:rsidR="00BA6A57" w:rsidRPr="00B76FE9" w:rsidRDefault="00BA6A57" w:rsidP="007A57D2">
      <w:pPr>
        <w:ind w:left="720"/>
        <w:jc w:val="both"/>
      </w:pPr>
      <w:r w:rsidRPr="00B76FE9">
        <w:t xml:space="preserve">"When an operator attaches to a statement or a pair of statements to form a compound, the statement or statements to which the operator attaches are the components of the compound.  However, for the sake of brevity, it is sometimes convenient to refer to them as components </w:t>
      </w:r>
      <w:r w:rsidRPr="00B76FE9">
        <w:rPr>
          <w:i/>
          <w:iCs/>
        </w:rPr>
        <w:t>to the operator</w:t>
      </w:r>
      <w:r w:rsidRPr="00B76FE9">
        <w:t xml:space="preserve"> which generates the compound.  Speaking in this loose fashion, we might say that in the statement</w:t>
      </w:r>
    </w:p>
    <w:p w14:paraId="70886724" w14:textId="77777777" w:rsidR="00BA6A57" w:rsidRPr="00B76FE9" w:rsidRDefault="00BA6A57" w:rsidP="00BA6A57">
      <w:pPr>
        <w:ind w:left="720"/>
      </w:pPr>
      <w:r w:rsidRPr="00B76FE9">
        <w:t>1. ~(A v B) • C</w:t>
      </w:r>
    </w:p>
    <w:p w14:paraId="3BE9D5FA" w14:textId="77777777" w:rsidR="0056165C" w:rsidRDefault="0056165C" w:rsidP="00BA6A57">
      <w:pPr>
        <w:ind w:left="720"/>
      </w:pPr>
    </w:p>
    <w:p w14:paraId="14C2A214" w14:textId="77777777" w:rsidR="00BA6A57" w:rsidRPr="00B76FE9" w:rsidRDefault="00BA6A57" w:rsidP="007A57D2">
      <w:pPr>
        <w:ind w:left="720"/>
        <w:jc w:val="both"/>
      </w:pPr>
      <w:r w:rsidRPr="00B76FE9">
        <w:t>the components to the dot[</w:t>
      </w:r>
      <w:r w:rsidRPr="00B76FE9">
        <w:rPr>
          <w:rStyle w:val="FootnoteReference"/>
        </w:rPr>
        <w:footnoteReference w:id="2"/>
      </w:r>
      <w:r w:rsidRPr="00B76FE9">
        <w:t>] are the statements '~(A v B)' and 'C', while the components to the wedge are the statements 'A' and 'B', and the component to the tilde is the statement '(A v B)'.</w:t>
      </w:r>
    </w:p>
    <w:p w14:paraId="09D08CF8" w14:textId="77777777" w:rsidR="0056165C" w:rsidRDefault="0056165C" w:rsidP="00BA6A57">
      <w:pPr>
        <w:ind w:left="720"/>
      </w:pPr>
    </w:p>
    <w:p w14:paraId="20BCC64F" w14:textId="77777777" w:rsidR="00BA6A57" w:rsidRPr="00B76FE9" w:rsidRDefault="00BA6A57" w:rsidP="007A57D2">
      <w:pPr>
        <w:ind w:left="720"/>
        <w:jc w:val="both"/>
      </w:pPr>
      <w:r w:rsidRPr="00B76FE9">
        <w:t xml:space="preserve">One operator </w:t>
      </w:r>
      <w:r w:rsidRPr="00B76FE9">
        <w:rPr>
          <w:b/>
          <w:bCs/>
        </w:rPr>
        <w:t xml:space="preserve">dominates </w:t>
      </w:r>
      <w:r w:rsidRPr="00B76FE9">
        <w:t xml:space="preserve">another if the other occurs in a component to the one.  Thus in (1), the tilde dominates the wedge and the dot dominates the tilde (and also the wedge).  If one operator dominates another, the second is said to be </w:t>
      </w:r>
      <w:r w:rsidRPr="00B76FE9">
        <w:rPr>
          <w:b/>
          <w:bCs/>
        </w:rPr>
        <w:t>subordinate</w:t>
      </w:r>
      <w:r w:rsidRPr="00B76FE9">
        <w:t xml:space="preserve"> to the first.  In (1), the tilde is subordinate to the dot, and the wedge is subordinate to the tilde (and also to the dot).</w:t>
      </w:r>
    </w:p>
    <w:p w14:paraId="051091BB" w14:textId="77777777" w:rsidR="00BA6A57" w:rsidRPr="0045050F" w:rsidRDefault="00BA6A57" w:rsidP="00BA6A57">
      <w:pPr>
        <w:rPr>
          <w:vanish/>
        </w:rPr>
      </w:pPr>
    </w:p>
    <w:p w14:paraId="67B35BEB" w14:textId="77777777" w:rsidR="00BA6A57" w:rsidRDefault="00BA6A57" w:rsidP="00BA6A57">
      <w:pPr>
        <w:ind w:left="720"/>
      </w:pPr>
      <w:r w:rsidRPr="00B76FE9">
        <w:t xml:space="preserve">An operator is the </w:t>
      </w:r>
      <w:r w:rsidRPr="00B76FE9">
        <w:rPr>
          <w:b/>
          <w:bCs/>
        </w:rPr>
        <w:t>dominant operator</w:t>
      </w:r>
      <w:r w:rsidRPr="00B76FE9">
        <w:t xml:space="preserve"> in a formula if it dominates all other operators in the formula.  In (1), the dominant operator is the dot.  But in the first conjunct of (1) the dominant operator is the tilde.  </w:t>
      </w:r>
    </w:p>
    <w:p w14:paraId="66DA2DEC" w14:textId="77777777" w:rsidR="0056165C" w:rsidRPr="00B76FE9" w:rsidRDefault="0056165C" w:rsidP="00BA6A57">
      <w:pPr>
        <w:ind w:left="720"/>
      </w:pPr>
    </w:p>
    <w:p w14:paraId="5B20919F" w14:textId="77777777" w:rsidR="00BA6A57" w:rsidRPr="00B76FE9" w:rsidRDefault="00BA6A57" w:rsidP="007A57D2">
      <w:pPr>
        <w:jc w:val="both"/>
      </w:pPr>
      <w:r w:rsidRPr="00B76FE9">
        <w:t xml:space="preserve">Clearly, there are different levels of domination.—a "pecking order" among the operators in compound statements.  One operator </w:t>
      </w:r>
      <w:r w:rsidRPr="00B76FE9">
        <w:rPr>
          <w:b/>
          <w:bCs/>
        </w:rPr>
        <w:t xml:space="preserve">directly dominates </w:t>
      </w:r>
      <w:r w:rsidRPr="00B76FE9">
        <w:t xml:space="preserve">another if the second is the dominant operator in a component to the first.  If one operator directly dominates another, the second is </w:t>
      </w:r>
      <w:r w:rsidRPr="00B76FE9">
        <w:rPr>
          <w:b/>
          <w:bCs/>
        </w:rPr>
        <w:t>directly subordinate</w:t>
      </w:r>
      <w:r w:rsidRPr="00B76FE9">
        <w:t xml:space="preserve"> to the first.  Thus in (1), the dot directly dominates the tilde.  The dot does </w:t>
      </w:r>
      <w:r w:rsidRPr="00B76FE9">
        <w:rPr>
          <w:i/>
          <w:iCs/>
        </w:rPr>
        <w:t xml:space="preserve">not </w:t>
      </w:r>
      <w:r w:rsidRPr="00B76FE9">
        <w:t xml:space="preserve">directly dominate the </w:t>
      </w:r>
      <w:proofErr w:type="gramStart"/>
      <w:r w:rsidRPr="00B76FE9">
        <w:t>wedge, since</w:t>
      </w:r>
      <w:proofErr w:type="gramEnd"/>
      <w:r w:rsidRPr="00B76FE9">
        <w:t xml:space="preserve"> the wedge is not the dominant operator in either of the components of (1). . . . </w:t>
      </w:r>
    </w:p>
    <w:p w14:paraId="0B7F6744" w14:textId="77777777" w:rsidR="00BA6A57" w:rsidRPr="00B76FE9" w:rsidRDefault="00BA6A57" w:rsidP="00BA6A57">
      <w:pPr>
        <w:ind w:left="720"/>
      </w:pPr>
      <w:r w:rsidRPr="00B76FE9">
        <w:tab/>
      </w:r>
    </w:p>
    <w:p w14:paraId="31A961C3" w14:textId="77777777" w:rsidR="00BA6A57" w:rsidRDefault="00BA6A57" w:rsidP="00BA6A57">
      <w:pPr>
        <w:ind w:left="720"/>
      </w:pPr>
      <w:r w:rsidRPr="00B76FE9">
        <w:t xml:space="preserve">If one operator dominates another, but does not directly dominate it, it is then a case of </w:t>
      </w:r>
      <w:r w:rsidRPr="00B76FE9">
        <w:rPr>
          <w:i/>
          <w:iCs/>
        </w:rPr>
        <w:t>indirect</w:t>
      </w:r>
      <w:r w:rsidRPr="00B76FE9">
        <w:t xml:space="preserve"> domination.  In (1), the dot indirectly dominates the wedge."</w:t>
      </w:r>
      <w:r w:rsidRPr="00B76FE9">
        <w:rPr>
          <w:rStyle w:val="FootnoteReference"/>
        </w:rPr>
        <w:footnoteReference w:id="3"/>
      </w:r>
    </w:p>
    <w:p w14:paraId="4A18494F" w14:textId="77777777" w:rsidR="00BA6A57" w:rsidRPr="00ED2C5B" w:rsidRDefault="00BA6A57" w:rsidP="00BA6A57">
      <w:pPr>
        <w:pStyle w:val="Heading3"/>
      </w:pPr>
      <w:r w:rsidRPr="00ED2C5B">
        <w:t>The rules for using the indent-right method of rulification are simple:</w:t>
      </w:r>
    </w:p>
    <w:p w14:paraId="20C142E1" w14:textId="77777777" w:rsidR="00BA6A57" w:rsidRPr="00ED2C5B" w:rsidRDefault="00BA6A57" w:rsidP="00BA6A57"/>
    <w:p w14:paraId="312F69C9" w14:textId="77777777" w:rsidR="00BA6A57" w:rsidRPr="00ED2C5B" w:rsidRDefault="00BA6A57" w:rsidP="00BA6A57">
      <w:pPr>
        <w:ind w:left="720"/>
      </w:pPr>
      <w:r w:rsidRPr="00ED2C5B">
        <w:t>(</w:t>
      </w:r>
      <w:proofErr w:type="spellStart"/>
      <w:r w:rsidRPr="00ED2C5B">
        <w:t>i</w:t>
      </w:r>
      <w:proofErr w:type="spellEnd"/>
      <w:r w:rsidRPr="00ED2C5B">
        <w:t>) The dominant operator stands furthest to the left.</w:t>
      </w:r>
    </w:p>
    <w:p w14:paraId="02FA18C4" w14:textId="77777777" w:rsidR="00BA6A57" w:rsidRPr="00ED2C5B" w:rsidRDefault="00BA6A57" w:rsidP="00BA6A57">
      <w:pPr>
        <w:ind w:left="720"/>
      </w:pPr>
    </w:p>
    <w:p w14:paraId="4F94DB63" w14:textId="77777777" w:rsidR="00BA6A57" w:rsidRPr="00ED2C5B" w:rsidRDefault="00BA6A57" w:rsidP="00BA6A57">
      <w:pPr>
        <w:ind w:left="720"/>
      </w:pPr>
      <w:r w:rsidRPr="00ED2C5B">
        <w:t>(ii) Any operator that the dominant operator dominates is indented once to the right (hence, "indent-right" method)</w:t>
      </w:r>
    </w:p>
    <w:p w14:paraId="1CB14A0C" w14:textId="77777777" w:rsidR="00BA6A57" w:rsidRPr="00ED2C5B" w:rsidRDefault="00BA6A57" w:rsidP="00BA6A57">
      <w:pPr>
        <w:ind w:left="720"/>
      </w:pPr>
    </w:p>
    <w:p w14:paraId="58727A1C" w14:textId="77777777" w:rsidR="00BA6A57" w:rsidRDefault="00BA6A57" w:rsidP="00BA6A57">
      <w:pPr>
        <w:ind w:left="720"/>
      </w:pPr>
      <w:r w:rsidRPr="00ED2C5B">
        <w:t>(iii) More generally, any operator that dominates another operator stands to the left-indent of that operator.</w:t>
      </w:r>
    </w:p>
    <w:p w14:paraId="3AC37683" w14:textId="77777777" w:rsidR="005755F7" w:rsidRDefault="005755F7">
      <w:pPr>
        <w:spacing w:line="240" w:lineRule="auto"/>
      </w:pPr>
      <w:r>
        <w:br w:type="page"/>
      </w:r>
    </w:p>
    <w:p w14:paraId="77A66078" w14:textId="77777777" w:rsidR="005755F7" w:rsidRPr="00ED2C5B" w:rsidRDefault="005755F7" w:rsidP="00BA6A57">
      <w:pPr>
        <w:ind w:left="720"/>
      </w:pPr>
    </w:p>
    <w:p w14:paraId="44CFD67A" w14:textId="77777777" w:rsidR="001C1444" w:rsidRDefault="001C1444" w:rsidP="0056165C">
      <w:pPr>
        <w:pStyle w:val="Heading1"/>
      </w:pPr>
      <w:r>
        <w:t>Rulify Monge</w:t>
      </w:r>
    </w:p>
    <w:p w14:paraId="7463DBF6" w14:textId="77777777" w:rsidR="001C1444" w:rsidRDefault="001C1444" w:rsidP="0056165C">
      <w:pPr>
        <w:pStyle w:val="Heading2"/>
      </w:pPr>
      <w:r>
        <w:t>enthymeme</w:t>
      </w:r>
    </w:p>
    <w:p w14:paraId="35FA5DCF" w14:textId="77777777" w:rsidR="001C1444" w:rsidRPr="001C1444" w:rsidRDefault="001C1444" w:rsidP="001C1444">
      <w:pPr>
        <w:ind w:left="720"/>
        <w:jc w:val="both"/>
      </w:pPr>
      <w:r w:rsidRPr="001C1444">
        <w:t>"We hold that a termination by the employer of a contract of employment at will which is motivated by bad faith or malice or based on retaliation is not the best interest of the economic system or the public good and constitutes a breach of the employment contract." </w:t>
      </w:r>
    </w:p>
    <w:p w14:paraId="60EDA856" w14:textId="77777777" w:rsidR="001C1444" w:rsidRDefault="001C1444" w:rsidP="0056165C">
      <w:pPr>
        <w:pStyle w:val="Heading2"/>
      </w:pPr>
      <w:r>
        <w:t>symbolic</w:t>
      </w:r>
    </w:p>
    <w:p w14:paraId="185FD8CA" w14:textId="77777777" w:rsidR="001C1444" w:rsidRDefault="001C1444" w:rsidP="0056165C">
      <w:pPr>
        <w:pStyle w:val="Heading2"/>
      </w:pPr>
    </w:p>
    <w:p w14:paraId="300C864A" w14:textId="77777777" w:rsidR="001C1444" w:rsidRDefault="001C1444" w:rsidP="0056165C">
      <w:pPr>
        <w:pStyle w:val="Heading2"/>
      </w:pPr>
      <w:r>
        <w:t>indent right</w:t>
      </w:r>
    </w:p>
    <w:p w14:paraId="6B88949B" w14:textId="77777777" w:rsidR="005755F7" w:rsidRDefault="005755F7">
      <w:pPr>
        <w:spacing w:line="240" w:lineRule="auto"/>
      </w:pPr>
      <w:r>
        <w:br w:type="page"/>
      </w:r>
    </w:p>
    <w:p w14:paraId="71B9E256" w14:textId="77777777" w:rsidR="005755F7" w:rsidRPr="005755F7" w:rsidRDefault="005755F7" w:rsidP="005755F7"/>
    <w:p w14:paraId="032CE9F8" w14:textId="77777777" w:rsidR="001C1444" w:rsidRDefault="001C1444" w:rsidP="0056165C">
      <w:pPr>
        <w:pStyle w:val="Heading1"/>
      </w:pPr>
      <w:r>
        <w:t xml:space="preserve">Rulify </w:t>
      </w:r>
      <w:r w:rsidRPr="009F2F5C">
        <w:rPr>
          <w:rFonts w:ascii="Times New Roman" w:hAnsi="Times New Roman"/>
        </w:rPr>
        <w:t>§</w:t>
      </w:r>
      <w:r>
        <w:t xml:space="preserve"> 90</w:t>
      </w:r>
      <w:r w:rsidR="00E622EE">
        <w:t>(1)</w:t>
      </w:r>
      <w:r w:rsidR="006A646F">
        <w:t xml:space="preserve"> [also rule in </w:t>
      </w:r>
      <w:r w:rsidR="006A646F" w:rsidRPr="006A646F">
        <w:rPr>
          <w:i/>
          <w:iCs/>
        </w:rPr>
        <w:t>Wright</w:t>
      </w:r>
      <w:r w:rsidR="006A646F">
        <w:t>]</w:t>
      </w:r>
    </w:p>
    <w:p w14:paraId="6D1871C8" w14:textId="77777777" w:rsidR="001C1444" w:rsidRDefault="001C1444" w:rsidP="0056165C">
      <w:pPr>
        <w:pStyle w:val="Heading2"/>
      </w:pPr>
      <w:r>
        <w:t>enthymeme</w:t>
      </w:r>
    </w:p>
    <w:p w14:paraId="5DD209AE" w14:textId="77777777" w:rsidR="00E622EE" w:rsidRDefault="00E622EE" w:rsidP="006A646F">
      <w:pPr>
        <w:jc w:val="both"/>
      </w:pPr>
      <w:r w:rsidRPr="00ED2C5B">
        <w:t>(1) A promise which the promisor should reasonably expect to induce action or forbearance on the part of the promisee or a third person and which does induce such action or forbearance is binding if injustice can be avoided only by enforcement of the promise.  The remedy granted for breach may be limited as justice requires.</w:t>
      </w:r>
    </w:p>
    <w:p w14:paraId="5DCA4B13" w14:textId="77777777" w:rsidR="001C1444" w:rsidRPr="001C1444" w:rsidRDefault="001C1444" w:rsidP="001C1444">
      <w:pPr>
        <w:rPr>
          <w:lang w:bidi="sa-IN"/>
        </w:rPr>
      </w:pPr>
    </w:p>
    <w:p w14:paraId="34AF0333" w14:textId="77777777" w:rsidR="001C1444" w:rsidRDefault="001C1444" w:rsidP="0056165C">
      <w:pPr>
        <w:pStyle w:val="Heading2"/>
      </w:pPr>
      <w:r>
        <w:t>symbolic</w:t>
      </w:r>
    </w:p>
    <w:p w14:paraId="391A9990" w14:textId="77777777" w:rsidR="001C1444" w:rsidRDefault="001C1444" w:rsidP="0056165C">
      <w:pPr>
        <w:pStyle w:val="Heading2"/>
      </w:pPr>
    </w:p>
    <w:p w14:paraId="4C820194" w14:textId="77777777" w:rsidR="001C1444" w:rsidRDefault="001C1444" w:rsidP="0056165C">
      <w:pPr>
        <w:pStyle w:val="Heading2"/>
      </w:pPr>
      <w:r>
        <w:t>indent right</w:t>
      </w:r>
    </w:p>
    <w:p w14:paraId="3283638F" w14:textId="77777777" w:rsidR="005755F7" w:rsidRDefault="005755F7">
      <w:pPr>
        <w:spacing w:line="240" w:lineRule="auto"/>
      </w:pPr>
      <w:r>
        <w:br w:type="page"/>
      </w:r>
    </w:p>
    <w:p w14:paraId="758F21CA" w14:textId="77777777" w:rsidR="005755F7" w:rsidRPr="005755F7" w:rsidRDefault="005755F7" w:rsidP="005755F7"/>
    <w:p w14:paraId="0F102F1B" w14:textId="77777777" w:rsidR="001C1444" w:rsidRDefault="001C1444" w:rsidP="0056165C">
      <w:pPr>
        <w:pStyle w:val="Heading1"/>
      </w:pPr>
      <w:r>
        <w:t xml:space="preserve">Rulify </w:t>
      </w:r>
      <w:r w:rsidRPr="009F2F5C">
        <w:rPr>
          <w:rFonts w:ascii="Times New Roman" w:hAnsi="Times New Roman"/>
        </w:rPr>
        <w:t>§</w:t>
      </w:r>
      <w:r>
        <w:t xml:space="preserve"> 2-207(1)</w:t>
      </w:r>
    </w:p>
    <w:p w14:paraId="7AEBE7DC" w14:textId="77777777" w:rsidR="001C1444" w:rsidRDefault="001C1444" w:rsidP="0056165C">
      <w:pPr>
        <w:pStyle w:val="Heading2"/>
      </w:pPr>
      <w:r>
        <w:t>enthymeme</w:t>
      </w:r>
    </w:p>
    <w:p w14:paraId="472AE6F2" w14:textId="77777777" w:rsidR="001C1444" w:rsidRDefault="001C1444" w:rsidP="001C1444">
      <w:pPr>
        <w:ind w:left="720"/>
      </w:pPr>
    </w:p>
    <w:p w14:paraId="53EAADDA" w14:textId="77777777" w:rsidR="001C1444" w:rsidRDefault="001C1444" w:rsidP="001C1444">
      <w:pPr>
        <w:ind w:left="720"/>
      </w:pPr>
      <w:r w:rsidRPr="00D41E0C">
        <w:t xml:space="preserve">A definite and seasonable expression of acceptance or a written confirmation which is sent within a reasonable time operates as an acceptance even though it states terms additional to or different from those offered or agreed </w:t>
      </w:r>
      <w:proofErr w:type="gramStart"/>
      <w:r w:rsidRPr="00D41E0C">
        <w:t>upon, unless</w:t>
      </w:r>
      <w:proofErr w:type="gramEnd"/>
      <w:r w:rsidRPr="00D41E0C">
        <w:t xml:space="preserve"> acceptance is expressly made conditional on assent to the additional or different terms.</w:t>
      </w:r>
    </w:p>
    <w:p w14:paraId="6D1C5929" w14:textId="77777777" w:rsidR="001C1444" w:rsidRDefault="001C1444" w:rsidP="0056165C">
      <w:pPr>
        <w:pStyle w:val="Heading2"/>
      </w:pPr>
      <w:r>
        <w:t>symbolic</w:t>
      </w:r>
    </w:p>
    <w:p w14:paraId="73957958" w14:textId="77777777" w:rsidR="001C1444" w:rsidRDefault="001C1444" w:rsidP="0056165C">
      <w:pPr>
        <w:pStyle w:val="Heading2"/>
      </w:pPr>
    </w:p>
    <w:p w14:paraId="485D241F" w14:textId="77777777" w:rsidR="001C1444" w:rsidRDefault="001C1444" w:rsidP="0056165C">
      <w:pPr>
        <w:pStyle w:val="Heading2"/>
      </w:pPr>
      <w:r>
        <w:t>indent right</w:t>
      </w:r>
    </w:p>
    <w:p w14:paraId="383F9C8B" w14:textId="77777777" w:rsidR="005755F7" w:rsidRDefault="005755F7">
      <w:pPr>
        <w:spacing w:line="240" w:lineRule="auto"/>
      </w:pPr>
      <w:r>
        <w:br w:type="page"/>
      </w:r>
    </w:p>
    <w:p w14:paraId="7B654DD2" w14:textId="77777777" w:rsidR="005755F7" w:rsidRPr="005755F7" w:rsidRDefault="005755F7" w:rsidP="005755F7"/>
    <w:p w14:paraId="78675C82" w14:textId="77777777" w:rsidR="001C1444" w:rsidRDefault="001C1444" w:rsidP="0056165C">
      <w:pPr>
        <w:pStyle w:val="Heading1"/>
      </w:pPr>
      <w:r>
        <w:t xml:space="preserve">Rulify </w:t>
      </w:r>
      <w:r w:rsidRPr="009F2F5C">
        <w:rPr>
          <w:rFonts w:ascii="Times New Roman" w:hAnsi="Times New Roman"/>
        </w:rPr>
        <w:t>§</w:t>
      </w:r>
      <w:r>
        <w:t xml:space="preserve"> 2-207(2)</w:t>
      </w:r>
    </w:p>
    <w:p w14:paraId="3054E4BC" w14:textId="77777777" w:rsidR="001C1444" w:rsidRDefault="001C1444" w:rsidP="0056165C">
      <w:pPr>
        <w:pStyle w:val="Heading2"/>
      </w:pPr>
      <w:r>
        <w:t>enthymeme</w:t>
      </w:r>
    </w:p>
    <w:p w14:paraId="43D7BD5D" w14:textId="77777777" w:rsidR="001C1444" w:rsidRPr="00BA6A57" w:rsidRDefault="001C1444" w:rsidP="001C1444">
      <w:pPr>
        <w:ind w:left="720"/>
      </w:pPr>
      <w:r w:rsidRPr="00BA6A57">
        <w:t>(2) The additional terms are to be construed as proposals for addition to the contract. Between merchants such terms become part of the contract unless:</w:t>
      </w:r>
    </w:p>
    <w:p w14:paraId="4688740C" w14:textId="77777777" w:rsidR="0056165C" w:rsidRDefault="0056165C" w:rsidP="001C1444">
      <w:pPr>
        <w:ind w:left="1440"/>
      </w:pPr>
    </w:p>
    <w:p w14:paraId="7BD8D356" w14:textId="77777777" w:rsidR="001C1444" w:rsidRDefault="001C1444" w:rsidP="001C1444">
      <w:pPr>
        <w:ind w:left="1440"/>
      </w:pPr>
      <w:r>
        <w:t xml:space="preserve">(a) the offer expressly limits acceptance to the terms of the offer; </w:t>
      </w:r>
    </w:p>
    <w:p w14:paraId="4830886C" w14:textId="77777777" w:rsidR="001C1444" w:rsidRDefault="001C1444" w:rsidP="001C1444">
      <w:pPr>
        <w:ind w:left="1440"/>
      </w:pPr>
      <w:r>
        <w:t xml:space="preserve">(b) they materially alter it; or </w:t>
      </w:r>
    </w:p>
    <w:p w14:paraId="08EE6C95" w14:textId="77777777" w:rsidR="001C1444" w:rsidRDefault="001C1444" w:rsidP="001C1444">
      <w:pPr>
        <w:ind w:left="1440"/>
      </w:pPr>
      <w:r>
        <w:t xml:space="preserve">(c) notification of objection to them has already been given or is given within a reasonable time after notice of them is received. </w:t>
      </w:r>
    </w:p>
    <w:p w14:paraId="3DC83F56" w14:textId="77777777" w:rsidR="001C1444" w:rsidRDefault="001C1444" w:rsidP="0056165C">
      <w:pPr>
        <w:pStyle w:val="Heading2"/>
      </w:pPr>
      <w:r>
        <w:t>symbolic</w:t>
      </w:r>
    </w:p>
    <w:p w14:paraId="46328A5A" w14:textId="77777777" w:rsidR="001C1444" w:rsidRDefault="001C1444" w:rsidP="0056165C">
      <w:pPr>
        <w:pStyle w:val="Heading2"/>
      </w:pPr>
    </w:p>
    <w:p w14:paraId="1BF27CCF" w14:textId="77777777" w:rsidR="001C1444" w:rsidRDefault="001C1444" w:rsidP="0056165C">
      <w:pPr>
        <w:pStyle w:val="Heading2"/>
      </w:pPr>
      <w:r>
        <w:t>indent right</w:t>
      </w:r>
    </w:p>
    <w:p w14:paraId="40AACA12" w14:textId="77777777" w:rsidR="001C1444" w:rsidRDefault="001C1444" w:rsidP="001C1444"/>
    <w:sectPr w:rsidR="001C1444" w:rsidSect="0056165C">
      <w:headerReference w:type="default" r:id="rId6"/>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B21755" w14:textId="77777777" w:rsidR="00565282" w:rsidRDefault="00565282" w:rsidP="00BA6A57">
      <w:pPr>
        <w:spacing w:line="240" w:lineRule="auto"/>
      </w:pPr>
      <w:r>
        <w:separator/>
      </w:r>
    </w:p>
  </w:endnote>
  <w:endnote w:type="continuationSeparator" w:id="0">
    <w:p w14:paraId="62E2C1DE" w14:textId="77777777" w:rsidR="00565282" w:rsidRDefault="00565282" w:rsidP="00BA6A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EFA489" w14:textId="77777777" w:rsidR="00565282" w:rsidRDefault="00565282" w:rsidP="00BA6A57">
      <w:pPr>
        <w:spacing w:line="240" w:lineRule="auto"/>
      </w:pPr>
      <w:r>
        <w:separator/>
      </w:r>
    </w:p>
  </w:footnote>
  <w:footnote w:type="continuationSeparator" w:id="0">
    <w:p w14:paraId="1E90D0C7" w14:textId="77777777" w:rsidR="00565282" w:rsidRDefault="00565282" w:rsidP="00BA6A57">
      <w:pPr>
        <w:spacing w:line="240" w:lineRule="auto"/>
      </w:pPr>
      <w:r>
        <w:continuationSeparator/>
      </w:r>
    </w:p>
  </w:footnote>
  <w:footnote w:id="1">
    <w:p w14:paraId="7CD37311" w14:textId="3D046AE9" w:rsidR="00E956C0" w:rsidRDefault="00E956C0" w:rsidP="00E956C0">
      <w:pPr>
        <w:pStyle w:val="FootnoteText"/>
        <w:jc w:val="left"/>
        <w:rPr>
          <w:rFonts w:eastAsiaTheme="majorEastAsia"/>
          <w:b/>
          <w:bCs/>
          <w:color w:val="FF0000"/>
        </w:rPr>
      </w:pPr>
      <w:r>
        <w:rPr>
          <w:rStyle w:val="FootnoteReference"/>
        </w:rPr>
        <w:footnoteRef/>
      </w:r>
      <w:r>
        <w:t xml:space="preserve"> </w:t>
      </w:r>
      <w:r w:rsidRPr="00E956C0">
        <w:rPr>
          <w:rFonts w:eastAsiaTheme="majorEastAsia"/>
          <w:b/>
          <w:bCs/>
          <w:color w:val="FF0000"/>
        </w:rPr>
        <w:t>© 201</w:t>
      </w:r>
      <w:r w:rsidR="007F4FCE">
        <w:rPr>
          <w:rFonts w:eastAsiaTheme="majorEastAsia"/>
          <w:b/>
          <w:bCs/>
          <w:color w:val="FF0000"/>
        </w:rPr>
        <w:t>8</w:t>
      </w:r>
      <w:r w:rsidRPr="00E956C0">
        <w:rPr>
          <w:rFonts w:eastAsiaTheme="majorEastAsia"/>
          <w:b/>
          <w:bCs/>
          <w:color w:val="FF0000"/>
        </w:rPr>
        <w:t xml:space="preserve"> Scott Brewer, For use in Summer School on Law and Logic, Harvard Law School-EUI 201</w:t>
      </w:r>
      <w:r w:rsidR="007F4FCE">
        <w:rPr>
          <w:rFonts w:eastAsiaTheme="majorEastAsia"/>
          <w:b/>
          <w:bCs/>
          <w:color w:val="FF0000"/>
        </w:rPr>
        <w:t>8</w:t>
      </w:r>
      <w:r w:rsidRPr="00E956C0">
        <w:rPr>
          <w:rFonts w:eastAsiaTheme="majorEastAsia"/>
          <w:b/>
          <w:bCs/>
          <w:color w:val="FF0000"/>
        </w:rPr>
        <w:t xml:space="preserve"> only</w:t>
      </w:r>
      <w:r>
        <w:rPr>
          <w:rFonts w:eastAsiaTheme="majorEastAsia"/>
          <w:b/>
          <w:bCs/>
          <w:color w:val="FF0000"/>
        </w:rPr>
        <w:t xml:space="preserve">, </w:t>
      </w:r>
      <w:r w:rsidR="007F4FCE">
        <w:rPr>
          <w:rFonts w:eastAsiaTheme="majorEastAsia"/>
          <w:b/>
          <w:bCs/>
          <w:color w:val="FF0000"/>
        </w:rPr>
        <w:t xml:space="preserve">please </w:t>
      </w:r>
      <w:r>
        <w:rPr>
          <w:rFonts w:eastAsiaTheme="majorEastAsia"/>
          <w:b/>
          <w:bCs/>
          <w:color w:val="FF0000"/>
        </w:rPr>
        <w:t>d</w:t>
      </w:r>
      <w:r w:rsidRPr="00E956C0">
        <w:rPr>
          <w:rFonts w:eastAsiaTheme="majorEastAsia"/>
          <w:b/>
          <w:bCs/>
          <w:color w:val="FF0000"/>
        </w:rPr>
        <w:t>o not copy or distribute</w:t>
      </w:r>
      <w:r w:rsidR="007F4FCE">
        <w:rPr>
          <w:rFonts w:eastAsiaTheme="majorEastAsia"/>
          <w:b/>
          <w:bCs/>
          <w:color w:val="FF0000"/>
        </w:rPr>
        <w:t xml:space="preserve"> without permission</w:t>
      </w:r>
      <w:bookmarkStart w:id="0" w:name="_GoBack"/>
      <w:bookmarkEnd w:id="0"/>
      <w:r>
        <w:rPr>
          <w:rFonts w:eastAsiaTheme="majorEastAsia"/>
          <w:b/>
          <w:bCs/>
          <w:color w:val="FF0000"/>
        </w:rPr>
        <w:t>.</w:t>
      </w:r>
    </w:p>
    <w:p w14:paraId="56F254CD" w14:textId="77777777" w:rsidR="00E956C0" w:rsidRDefault="00E956C0" w:rsidP="00E956C0">
      <w:pPr>
        <w:pStyle w:val="FootnoteText"/>
        <w:jc w:val="left"/>
      </w:pPr>
    </w:p>
  </w:footnote>
  <w:footnote w:id="2">
    <w:p w14:paraId="29AC1F9B" w14:textId="77777777" w:rsidR="00BA6A57" w:rsidRDefault="00BA6A57" w:rsidP="00BA6A57">
      <w:pPr>
        <w:pStyle w:val="FootnoteText"/>
      </w:pPr>
      <w:r>
        <w:rPr>
          <w:rStyle w:val="FootnoteReference"/>
        </w:rPr>
        <w:footnoteRef/>
      </w:r>
      <w:r>
        <w:t xml:space="preserve">  Tapscott uses '•' represent the conjunctive operator.  In this course we use either '&amp;' or '</w:t>
      </w:r>
      <w:r>
        <w:sym w:font="Symbol" w:char="F0D9"/>
      </w:r>
      <w:r>
        <w:t>'.  And Tapscott uses '~' for the negational operator, while we use either the '~', like Tapscott, or '</w:t>
      </w:r>
      <w:r>
        <w:sym w:font="Symbol" w:char="F0D8"/>
      </w:r>
      <w:r>
        <w:t xml:space="preserve">'.  This is a difference in symbolism only.  All of the </w:t>
      </w:r>
      <w:r w:rsidRPr="00843C5A">
        <w:rPr>
          <w:b/>
          <w:bCs/>
          <w:i/>
          <w:iCs/>
        </w:rPr>
        <w:t>truth-functional operators</w:t>
      </w:r>
      <w:r>
        <w:t xml:space="preserve"> have the meaning precisely represented by their corresponding </w:t>
      </w:r>
      <w:r w:rsidRPr="00843C5A">
        <w:rPr>
          <w:b/>
          <w:bCs/>
          <w:i/>
          <w:iCs/>
        </w:rPr>
        <w:t>truth-tables</w:t>
      </w:r>
      <w:r>
        <w:t xml:space="preserve">, and the symbol one uses for the operator does not matter as long as one is consistent. </w:t>
      </w:r>
    </w:p>
  </w:footnote>
  <w:footnote w:id="3">
    <w:p w14:paraId="4B453CB3" w14:textId="77777777" w:rsidR="00BA6A57" w:rsidRDefault="00BA6A57" w:rsidP="00BA6A57">
      <w:pPr>
        <w:pStyle w:val="FootnoteText"/>
      </w:pPr>
      <w:r>
        <w:rPr>
          <w:rStyle w:val="FootnoteReference"/>
        </w:rPr>
        <w:footnoteRef/>
      </w:r>
      <w:r>
        <w:t xml:space="preserve"> B. Tapscott, </w:t>
      </w:r>
      <w:r w:rsidRPr="0095251C">
        <w:rPr>
          <w:i/>
          <w:iCs/>
        </w:rPr>
        <w:t>Elementary Applied Symbolic Logic</w:t>
      </w:r>
      <w:r>
        <w:t xml:space="preserve"> (1976), pp. 35-36.</w:t>
      </w:r>
    </w:p>
    <w:p w14:paraId="3A366C21" w14:textId="77777777" w:rsidR="00BA6A57" w:rsidRPr="0095251C" w:rsidRDefault="00BA6A57" w:rsidP="00BA6A57">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5105587"/>
      <w:docPartObj>
        <w:docPartGallery w:val="Page Numbers (Top of Page)"/>
        <w:docPartUnique/>
      </w:docPartObj>
    </w:sdtPr>
    <w:sdtEndPr>
      <w:rPr>
        <w:noProof/>
      </w:rPr>
    </w:sdtEndPr>
    <w:sdtContent>
      <w:p w14:paraId="315C5789" w14:textId="77777777" w:rsidR="0056165C" w:rsidRDefault="0056165C">
        <w:pPr>
          <w:pStyle w:val="Header"/>
          <w:jc w:val="center"/>
        </w:pPr>
        <w:r>
          <w:fldChar w:fldCharType="begin"/>
        </w:r>
        <w:r>
          <w:instrText xml:space="preserve"> PAGE   \* MERGEFORMAT </w:instrText>
        </w:r>
        <w:r>
          <w:fldChar w:fldCharType="separate"/>
        </w:r>
        <w:r w:rsidR="007A57D2">
          <w:rPr>
            <w:noProof/>
          </w:rPr>
          <w:t>6</w:t>
        </w:r>
        <w:r>
          <w:rPr>
            <w:noProof/>
          </w:rPr>
          <w:fldChar w:fldCharType="end"/>
        </w:r>
      </w:p>
    </w:sdtContent>
  </w:sdt>
  <w:p w14:paraId="3E96E229" w14:textId="77777777" w:rsidR="0056165C" w:rsidRDefault="005616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3B1"/>
    <w:rsid w:val="00000D80"/>
    <w:rsid w:val="00000DEA"/>
    <w:rsid w:val="00001D14"/>
    <w:rsid w:val="0000235C"/>
    <w:rsid w:val="00002DF5"/>
    <w:rsid w:val="000037F7"/>
    <w:rsid w:val="000060B8"/>
    <w:rsid w:val="000064C6"/>
    <w:rsid w:val="0000654B"/>
    <w:rsid w:val="00006D1B"/>
    <w:rsid w:val="00006E2B"/>
    <w:rsid w:val="00007FEA"/>
    <w:rsid w:val="00011CBD"/>
    <w:rsid w:val="000122AF"/>
    <w:rsid w:val="000125E4"/>
    <w:rsid w:val="00012CD7"/>
    <w:rsid w:val="00014BEF"/>
    <w:rsid w:val="00021855"/>
    <w:rsid w:val="0002200D"/>
    <w:rsid w:val="00022A22"/>
    <w:rsid w:val="00022EE1"/>
    <w:rsid w:val="00023AFA"/>
    <w:rsid w:val="00025AD9"/>
    <w:rsid w:val="00025FF4"/>
    <w:rsid w:val="00030ACC"/>
    <w:rsid w:val="0003104B"/>
    <w:rsid w:val="000324D0"/>
    <w:rsid w:val="000325F9"/>
    <w:rsid w:val="00037082"/>
    <w:rsid w:val="0004021B"/>
    <w:rsid w:val="000413CB"/>
    <w:rsid w:val="00041B00"/>
    <w:rsid w:val="00041B8A"/>
    <w:rsid w:val="00042DA8"/>
    <w:rsid w:val="00042ED4"/>
    <w:rsid w:val="00044772"/>
    <w:rsid w:val="00044B2F"/>
    <w:rsid w:val="00045922"/>
    <w:rsid w:val="00045960"/>
    <w:rsid w:val="00046508"/>
    <w:rsid w:val="0004666D"/>
    <w:rsid w:val="00047209"/>
    <w:rsid w:val="0005006B"/>
    <w:rsid w:val="000504FC"/>
    <w:rsid w:val="00051AD0"/>
    <w:rsid w:val="00051F86"/>
    <w:rsid w:val="00052343"/>
    <w:rsid w:val="000525A7"/>
    <w:rsid w:val="00053F7C"/>
    <w:rsid w:val="000550C9"/>
    <w:rsid w:val="000605CE"/>
    <w:rsid w:val="0006141F"/>
    <w:rsid w:val="000619FA"/>
    <w:rsid w:val="00061B75"/>
    <w:rsid w:val="00061CCC"/>
    <w:rsid w:val="00062B0B"/>
    <w:rsid w:val="00063A22"/>
    <w:rsid w:val="0006534A"/>
    <w:rsid w:val="00065C21"/>
    <w:rsid w:val="00065EE2"/>
    <w:rsid w:val="000666A8"/>
    <w:rsid w:val="000703EF"/>
    <w:rsid w:val="00071C85"/>
    <w:rsid w:val="0007682F"/>
    <w:rsid w:val="000768BA"/>
    <w:rsid w:val="00077B80"/>
    <w:rsid w:val="00077D83"/>
    <w:rsid w:val="00080E30"/>
    <w:rsid w:val="00081925"/>
    <w:rsid w:val="000825BF"/>
    <w:rsid w:val="00083EF5"/>
    <w:rsid w:val="00084B1A"/>
    <w:rsid w:val="00085374"/>
    <w:rsid w:val="00085BDC"/>
    <w:rsid w:val="000861A4"/>
    <w:rsid w:val="00086DE9"/>
    <w:rsid w:val="00090154"/>
    <w:rsid w:val="00090621"/>
    <w:rsid w:val="00090E5B"/>
    <w:rsid w:val="00092B94"/>
    <w:rsid w:val="0009439D"/>
    <w:rsid w:val="00094D09"/>
    <w:rsid w:val="000A02E4"/>
    <w:rsid w:val="000A1017"/>
    <w:rsid w:val="000A1107"/>
    <w:rsid w:val="000A1338"/>
    <w:rsid w:val="000A16AC"/>
    <w:rsid w:val="000A2447"/>
    <w:rsid w:val="000A5592"/>
    <w:rsid w:val="000A5704"/>
    <w:rsid w:val="000A57E3"/>
    <w:rsid w:val="000A6E01"/>
    <w:rsid w:val="000A755F"/>
    <w:rsid w:val="000B26B6"/>
    <w:rsid w:val="000B28C2"/>
    <w:rsid w:val="000B36DC"/>
    <w:rsid w:val="000B4D9B"/>
    <w:rsid w:val="000B5332"/>
    <w:rsid w:val="000B5C56"/>
    <w:rsid w:val="000B6B5E"/>
    <w:rsid w:val="000C0E3E"/>
    <w:rsid w:val="000C177B"/>
    <w:rsid w:val="000C2DA8"/>
    <w:rsid w:val="000C32E5"/>
    <w:rsid w:val="000C40C9"/>
    <w:rsid w:val="000C52C4"/>
    <w:rsid w:val="000C5A05"/>
    <w:rsid w:val="000C5DAC"/>
    <w:rsid w:val="000C5F7D"/>
    <w:rsid w:val="000C6016"/>
    <w:rsid w:val="000C678F"/>
    <w:rsid w:val="000C7690"/>
    <w:rsid w:val="000D41AF"/>
    <w:rsid w:val="000D547E"/>
    <w:rsid w:val="000D6496"/>
    <w:rsid w:val="000D6E0E"/>
    <w:rsid w:val="000D744E"/>
    <w:rsid w:val="000D77F2"/>
    <w:rsid w:val="000D7C16"/>
    <w:rsid w:val="000D7C3A"/>
    <w:rsid w:val="000D7FEC"/>
    <w:rsid w:val="000E05F6"/>
    <w:rsid w:val="000E085B"/>
    <w:rsid w:val="000E11E8"/>
    <w:rsid w:val="000E307E"/>
    <w:rsid w:val="000E500F"/>
    <w:rsid w:val="000E5919"/>
    <w:rsid w:val="000E595D"/>
    <w:rsid w:val="000E791A"/>
    <w:rsid w:val="000F02A5"/>
    <w:rsid w:val="000F1845"/>
    <w:rsid w:val="000F1EB8"/>
    <w:rsid w:val="000F22A1"/>
    <w:rsid w:val="000F27BF"/>
    <w:rsid w:val="000F3926"/>
    <w:rsid w:val="000F39F1"/>
    <w:rsid w:val="000F4511"/>
    <w:rsid w:val="000F6077"/>
    <w:rsid w:val="000F661B"/>
    <w:rsid w:val="000F73F4"/>
    <w:rsid w:val="000F7BED"/>
    <w:rsid w:val="0010022A"/>
    <w:rsid w:val="001008C0"/>
    <w:rsid w:val="0010196E"/>
    <w:rsid w:val="0010566D"/>
    <w:rsid w:val="00106067"/>
    <w:rsid w:val="001063C4"/>
    <w:rsid w:val="00106CA0"/>
    <w:rsid w:val="00107F0A"/>
    <w:rsid w:val="0011000D"/>
    <w:rsid w:val="0011163D"/>
    <w:rsid w:val="00112D68"/>
    <w:rsid w:val="00112F3B"/>
    <w:rsid w:val="00113BF3"/>
    <w:rsid w:val="00113D99"/>
    <w:rsid w:val="00113E1F"/>
    <w:rsid w:val="0011407B"/>
    <w:rsid w:val="001154D1"/>
    <w:rsid w:val="0011713F"/>
    <w:rsid w:val="00117AC1"/>
    <w:rsid w:val="001209AF"/>
    <w:rsid w:val="00120FD7"/>
    <w:rsid w:val="0012323E"/>
    <w:rsid w:val="001234D2"/>
    <w:rsid w:val="00124190"/>
    <w:rsid w:val="00124DCD"/>
    <w:rsid w:val="00126F28"/>
    <w:rsid w:val="00130330"/>
    <w:rsid w:val="00131424"/>
    <w:rsid w:val="001339E3"/>
    <w:rsid w:val="00133EBA"/>
    <w:rsid w:val="00134839"/>
    <w:rsid w:val="00135105"/>
    <w:rsid w:val="00135575"/>
    <w:rsid w:val="0013649C"/>
    <w:rsid w:val="00140A28"/>
    <w:rsid w:val="00141575"/>
    <w:rsid w:val="00142335"/>
    <w:rsid w:val="001466D2"/>
    <w:rsid w:val="00147624"/>
    <w:rsid w:val="001479A9"/>
    <w:rsid w:val="001503C2"/>
    <w:rsid w:val="0015043A"/>
    <w:rsid w:val="00151C95"/>
    <w:rsid w:val="001566EE"/>
    <w:rsid w:val="00157ED0"/>
    <w:rsid w:val="001603E2"/>
    <w:rsid w:val="001603F3"/>
    <w:rsid w:val="00161D70"/>
    <w:rsid w:val="001632FC"/>
    <w:rsid w:val="00163B58"/>
    <w:rsid w:val="00165256"/>
    <w:rsid w:val="001654E3"/>
    <w:rsid w:val="001656B6"/>
    <w:rsid w:val="0016611E"/>
    <w:rsid w:val="00166FD5"/>
    <w:rsid w:val="0016701A"/>
    <w:rsid w:val="00167669"/>
    <w:rsid w:val="00171AB8"/>
    <w:rsid w:val="00171B5C"/>
    <w:rsid w:val="00173171"/>
    <w:rsid w:val="001731BC"/>
    <w:rsid w:val="00174D61"/>
    <w:rsid w:val="0017519F"/>
    <w:rsid w:val="0017575C"/>
    <w:rsid w:val="00175F4F"/>
    <w:rsid w:val="0017622F"/>
    <w:rsid w:val="0017665C"/>
    <w:rsid w:val="00177CE5"/>
    <w:rsid w:val="00180098"/>
    <w:rsid w:val="001831DF"/>
    <w:rsid w:val="00183BF9"/>
    <w:rsid w:val="00185300"/>
    <w:rsid w:val="00185D35"/>
    <w:rsid w:val="00186BCC"/>
    <w:rsid w:val="00192EB2"/>
    <w:rsid w:val="00193F75"/>
    <w:rsid w:val="00194A3E"/>
    <w:rsid w:val="0019541B"/>
    <w:rsid w:val="001957C3"/>
    <w:rsid w:val="00195807"/>
    <w:rsid w:val="00196A9D"/>
    <w:rsid w:val="0019758C"/>
    <w:rsid w:val="001A0D3F"/>
    <w:rsid w:val="001A1416"/>
    <w:rsid w:val="001A3BCE"/>
    <w:rsid w:val="001A4593"/>
    <w:rsid w:val="001A6E51"/>
    <w:rsid w:val="001A6F12"/>
    <w:rsid w:val="001B022F"/>
    <w:rsid w:val="001B2C81"/>
    <w:rsid w:val="001B2CBF"/>
    <w:rsid w:val="001B31E5"/>
    <w:rsid w:val="001B394F"/>
    <w:rsid w:val="001B3B8F"/>
    <w:rsid w:val="001B3BF3"/>
    <w:rsid w:val="001B4673"/>
    <w:rsid w:val="001B4F0D"/>
    <w:rsid w:val="001B53D4"/>
    <w:rsid w:val="001B5499"/>
    <w:rsid w:val="001B79B0"/>
    <w:rsid w:val="001C08E4"/>
    <w:rsid w:val="001C0EA5"/>
    <w:rsid w:val="001C1444"/>
    <w:rsid w:val="001C2959"/>
    <w:rsid w:val="001C5981"/>
    <w:rsid w:val="001C65B8"/>
    <w:rsid w:val="001C6B5F"/>
    <w:rsid w:val="001D0696"/>
    <w:rsid w:val="001D2B39"/>
    <w:rsid w:val="001D37D5"/>
    <w:rsid w:val="001D5749"/>
    <w:rsid w:val="001D5F04"/>
    <w:rsid w:val="001D66C2"/>
    <w:rsid w:val="001D6741"/>
    <w:rsid w:val="001E043F"/>
    <w:rsid w:val="001E3062"/>
    <w:rsid w:val="001E4A2C"/>
    <w:rsid w:val="001E4A91"/>
    <w:rsid w:val="001E5EF9"/>
    <w:rsid w:val="001E69C2"/>
    <w:rsid w:val="001E7F3E"/>
    <w:rsid w:val="001F06FD"/>
    <w:rsid w:val="001F11D9"/>
    <w:rsid w:val="001F1353"/>
    <w:rsid w:val="001F1B19"/>
    <w:rsid w:val="001F3E79"/>
    <w:rsid w:val="001F4241"/>
    <w:rsid w:val="001F4770"/>
    <w:rsid w:val="001F72D6"/>
    <w:rsid w:val="00200FC2"/>
    <w:rsid w:val="0020106C"/>
    <w:rsid w:val="002016C4"/>
    <w:rsid w:val="002027FE"/>
    <w:rsid w:val="00202EC1"/>
    <w:rsid w:val="00203462"/>
    <w:rsid w:val="00203774"/>
    <w:rsid w:val="00204B9F"/>
    <w:rsid w:val="00211430"/>
    <w:rsid w:val="00212AFE"/>
    <w:rsid w:val="002142A3"/>
    <w:rsid w:val="00214F8D"/>
    <w:rsid w:val="00215054"/>
    <w:rsid w:val="002153BF"/>
    <w:rsid w:val="00215D54"/>
    <w:rsid w:val="00216201"/>
    <w:rsid w:val="002173E7"/>
    <w:rsid w:val="00220A8E"/>
    <w:rsid w:val="002212B1"/>
    <w:rsid w:val="00222103"/>
    <w:rsid w:val="002228C8"/>
    <w:rsid w:val="00222BCB"/>
    <w:rsid w:val="002231CF"/>
    <w:rsid w:val="00223B6A"/>
    <w:rsid w:val="002242FE"/>
    <w:rsid w:val="0022475B"/>
    <w:rsid w:val="00225306"/>
    <w:rsid w:val="00226160"/>
    <w:rsid w:val="00227535"/>
    <w:rsid w:val="00230429"/>
    <w:rsid w:val="0023079F"/>
    <w:rsid w:val="0023175A"/>
    <w:rsid w:val="00232705"/>
    <w:rsid w:val="0023303C"/>
    <w:rsid w:val="002344FB"/>
    <w:rsid w:val="00237F66"/>
    <w:rsid w:val="002407C4"/>
    <w:rsid w:val="00240C16"/>
    <w:rsid w:val="00242612"/>
    <w:rsid w:val="00243DFC"/>
    <w:rsid w:val="00246FE6"/>
    <w:rsid w:val="0024798E"/>
    <w:rsid w:val="00247F58"/>
    <w:rsid w:val="0025037A"/>
    <w:rsid w:val="002525D2"/>
    <w:rsid w:val="00252B59"/>
    <w:rsid w:val="00252D81"/>
    <w:rsid w:val="00254CF0"/>
    <w:rsid w:val="00254FE2"/>
    <w:rsid w:val="00255059"/>
    <w:rsid w:val="002551E8"/>
    <w:rsid w:val="00256334"/>
    <w:rsid w:val="00257947"/>
    <w:rsid w:val="00257C77"/>
    <w:rsid w:val="002610B7"/>
    <w:rsid w:val="00261277"/>
    <w:rsid w:val="00261C7D"/>
    <w:rsid w:val="00262F6E"/>
    <w:rsid w:val="002646E8"/>
    <w:rsid w:val="002655FD"/>
    <w:rsid w:val="00266A46"/>
    <w:rsid w:val="00266CDE"/>
    <w:rsid w:val="0026756C"/>
    <w:rsid w:val="0026794A"/>
    <w:rsid w:val="00270397"/>
    <w:rsid w:val="00270676"/>
    <w:rsid w:val="00270945"/>
    <w:rsid w:val="00271817"/>
    <w:rsid w:val="00271F57"/>
    <w:rsid w:val="00272781"/>
    <w:rsid w:val="0027338A"/>
    <w:rsid w:val="00274EC1"/>
    <w:rsid w:val="00275852"/>
    <w:rsid w:val="002762E2"/>
    <w:rsid w:val="002807A8"/>
    <w:rsid w:val="0028160C"/>
    <w:rsid w:val="002834EA"/>
    <w:rsid w:val="00283F62"/>
    <w:rsid w:val="002868FA"/>
    <w:rsid w:val="00286CA6"/>
    <w:rsid w:val="00287B0B"/>
    <w:rsid w:val="00287EBB"/>
    <w:rsid w:val="002912DB"/>
    <w:rsid w:val="00291A20"/>
    <w:rsid w:val="0029299C"/>
    <w:rsid w:val="00292E47"/>
    <w:rsid w:val="002931F0"/>
    <w:rsid w:val="00294EA7"/>
    <w:rsid w:val="0029573F"/>
    <w:rsid w:val="00295DB1"/>
    <w:rsid w:val="0029725A"/>
    <w:rsid w:val="002A0631"/>
    <w:rsid w:val="002A229A"/>
    <w:rsid w:val="002A3A4D"/>
    <w:rsid w:val="002A47B6"/>
    <w:rsid w:val="002A507B"/>
    <w:rsid w:val="002A5181"/>
    <w:rsid w:val="002A732C"/>
    <w:rsid w:val="002B070E"/>
    <w:rsid w:val="002B09B8"/>
    <w:rsid w:val="002B254D"/>
    <w:rsid w:val="002B324D"/>
    <w:rsid w:val="002B6BE4"/>
    <w:rsid w:val="002B71D1"/>
    <w:rsid w:val="002B78A6"/>
    <w:rsid w:val="002B7C94"/>
    <w:rsid w:val="002B7E72"/>
    <w:rsid w:val="002C2017"/>
    <w:rsid w:val="002C391C"/>
    <w:rsid w:val="002C52E4"/>
    <w:rsid w:val="002C6F31"/>
    <w:rsid w:val="002C7684"/>
    <w:rsid w:val="002D1D05"/>
    <w:rsid w:val="002D1FFA"/>
    <w:rsid w:val="002D2CC4"/>
    <w:rsid w:val="002D2D00"/>
    <w:rsid w:val="002D4455"/>
    <w:rsid w:val="002D59CD"/>
    <w:rsid w:val="002D7B76"/>
    <w:rsid w:val="002E04A7"/>
    <w:rsid w:val="002E1C03"/>
    <w:rsid w:val="002E24A1"/>
    <w:rsid w:val="002E3AED"/>
    <w:rsid w:val="002E4923"/>
    <w:rsid w:val="002E4B0E"/>
    <w:rsid w:val="002E65F2"/>
    <w:rsid w:val="002F01F4"/>
    <w:rsid w:val="002F33CE"/>
    <w:rsid w:val="002F3A07"/>
    <w:rsid w:val="002F3E3F"/>
    <w:rsid w:val="002F41B0"/>
    <w:rsid w:val="002F438A"/>
    <w:rsid w:val="002F49ED"/>
    <w:rsid w:val="002F6D53"/>
    <w:rsid w:val="002F7418"/>
    <w:rsid w:val="00300025"/>
    <w:rsid w:val="003004DB"/>
    <w:rsid w:val="00301978"/>
    <w:rsid w:val="0030202F"/>
    <w:rsid w:val="003031FC"/>
    <w:rsid w:val="0030438C"/>
    <w:rsid w:val="00304CEA"/>
    <w:rsid w:val="0030670A"/>
    <w:rsid w:val="003078F4"/>
    <w:rsid w:val="00314B1F"/>
    <w:rsid w:val="00315B3A"/>
    <w:rsid w:val="00316849"/>
    <w:rsid w:val="003177EA"/>
    <w:rsid w:val="0031786F"/>
    <w:rsid w:val="00321957"/>
    <w:rsid w:val="0032419C"/>
    <w:rsid w:val="00325EA7"/>
    <w:rsid w:val="00334033"/>
    <w:rsid w:val="0033429C"/>
    <w:rsid w:val="003368BA"/>
    <w:rsid w:val="00340A87"/>
    <w:rsid w:val="003418F6"/>
    <w:rsid w:val="003445B4"/>
    <w:rsid w:val="00345E91"/>
    <w:rsid w:val="00346F43"/>
    <w:rsid w:val="003479E7"/>
    <w:rsid w:val="00350245"/>
    <w:rsid w:val="00350E96"/>
    <w:rsid w:val="00351C71"/>
    <w:rsid w:val="00352147"/>
    <w:rsid w:val="003541D0"/>
    <w:rsid w:val="003550C1"/>
    <w:rsid w:val="00356B64"/>
    <w:rsid w:val="00357211"/>
    <w:rsid w:val="003608FA"/>
    <w:rsid w:val="00361135"/>
    <w:rsid w:val="00361D8D"/>
    <w:rsid w:val="00362A7A"/>
    <w:rsid w:val="00362D98"/>
    <w:rsid w:val="00363C14"/>
    <w:rsid w:val="003654F4"/>
    <w:rsid w:val="00365A4B"/>
    <w:rsid w:val="00366238"/>
    <w:rsid w:val="00367ACC"/>
    <w:rsid w:val="0037041F"/>
    <w:rsid w:val="00370BD9"/>
    <w:rsid w:val="003712AD"/>
    <w:rsid w:val="003734AC"/>
    <w:rsid w:val="003749DA"/>
    <w:rsid w:val="0037675A"/>
    <w:rsid w:val="00376CD2"/>
    <w:rsid w:val="00381FE0"/>
    <w:rsid w:val="00382AD3"/>
    <w:rsid w:val="00382D1B"/>
    <w:rsid w:val="00383D48"/>
    <w:rsid w:val="0038427F"/>
    <w:rsid w:val="00386291"/>
    <w:rsid w:val="00387EF6"/>
    <w:rsid w:val="0039035F"/>
    <w:rsid w:val="0039081A"/>
    <w:rsid w:val="00391610"/>
    <w:rsid w:val="0039180D"/>
    <w:rsid w:val="0039308C"/>
    <w:rsid w:val="003947A8"/>
    <w:rsid w:val="00394C1E"/>
    <w:rsid w:val="00395032"/>
    <w:rsid w:val="00397F0F"/>
    <w:rsid w:val="003A041D"/>
    <w:rsid w:val="003A10D6"/>
    <w:rsid w:val="003A158E"/>
    <w:rsid w:val="003A475B"/>
    <w:rsid w:val="003A56BC"/>
    <w:rsid w:val="003A5FC2"/>
    <w:rsid w:val="003A6502"/>
    <w:rsid w:val="003A7A69"/>
    <w:rsid w:val="003B4AA5"/>
    <w:rsid w:val="003B4ABC"/>
    <w:rsid w:val="003B4C07"/>
    <w:rsid w:val="003B62B5"/>
    <w:rsid w:val="003C02BB"/>
    <w:rsid w:val="003C097A"/>
    <w:rsid w:val="003C1DA0"/>
    <w:rsid w:val="003C2CD7"/>
    <w:rsid w:val="003C6B8F"/>
    <w:rsid w:val="003D08BC"/>
    <w:rsid w:val="003D11FD"/>
    <w:rsid w:val="003D3030"/>
    <w:rsid w:val="003D40CE"/>
    <w:rsid w:val="003D4825"/>
    <w:rsid w:val="003D4906"/>
    <w:rsid w:val="003D5655"/>
    <w:rsid w:val="003D5F32"/>
    <w:rsid w:val="003E0A56"/>
    <w:rsid w:val="003E20D9"/>
    <w:rsid w:val="003E2940"/>
    <w:rsid w:val="003E536A"/>
    <w:rsid w:val="003E63B3"/>
    <w:rsid w:val="003E72EC"/>
    <w:rsid w:val="003E7E9E"/>
    <w:rsid w:val="003F14D4"/>
    <w:rsid w:val="003F1948"/>
    <w:rsid w:val="003F2EC7"/>
    <w:rsid w:val="003F52C9"/>
    <w:rsid w:val="003F7201"/>
    <w:rsid w:val="003F78BB"/>
    <w:rsid w:val="00400C6A"/>
    <w:rsid w:val="00402E63"/>
    <w:rsid w:val="0040376D"/>
    <w:rsid w:val="00403AE4"/>
    <w:rsid w:val="00406107"/>
    <w:rsid w:val="004062A1"/>
    <w:rsid w:val="00406CD1"/>
    <w:rsid w:val="00407468"/>
    <w:rsid w:val="00410AD7"/>
    <w:rsid w:val="00410EA2"/>
    <w:rsid w:val="00412CF3"/>
    <w:rsid w:val="00413419"/>
    <w:rsid w:val="00413A29"/>
    <w:rsid w:val="00413AE7"/>
    <w:rsid w:val="0041402D"/>
    <w:rsid w:val="004153F0"/>
    <w:rsid w:val="00416164"/>
    <w:rsid w:val="00417D2B"/>
    <w:rsid w:val="00417DA7"/>
    <w:rsid w:val="00420173"/>
    <w:rsid w:val="00420EBB"/>
    <w:rsid w:val="0042166F"/>
    <w:rsid w:val="0042170F"/>
    <w:rsid w:val="004224A3"/>
    <w:rsid w:val="00422A58"/>
    <w:rsid w:val="00423517"/>
    <w:rsid w:val="004237C6"/>
    <w:rsid w:val="00423A62"/>
    <w:rsid w:val="0042474D"/>
    <w:rsid w:val="00424B66"/>
    <w:rsid w:val="00424FA2"/>
    <w:rsid w:val="0042506B"/>
    <w:rsid w:val="0042531C"/>
    <w:rsid w:val="004257AF"/>
    <w:rsid w:val="00425A27"/>
    <w:rsid w:val="00425A94"/>
    <w:rsid w:val="00426815"/>
    <w:rsid w:val="004300DB"/>
    <w:rsid w:val="00430AD9"/>
    <w:rsid w:val="004318CD"/>
    <w:rsid w:val="004327B9"/>
    <w:rsid w:val="00433FA4"/>
    <w:rsid w:val="004354C3"/>
    <w:rsid w:val="00436F21"/>
    <w:rsid w:val="0043702F"/>
    <w:rsid w:val="00437792"/>
    <w:rsid w:val="004413AE"/>
    <w:rsid w:val="0044185D"/>
    <w:rsid w:val="0044197C"/>
    <w:rsid w:val="0044309A"/>
    <w:rsid w:val="00443BBA"/>
    <w:rsid w:val="00443E5C"/>
    <w:rsid w:val="004441E1"/>
    <w:rsid w:val="004443A1"/>
    <w:rsid w:val="00444486"/>
    <w:rsid w:val="00444627"/>
    <w:rsid w:val="00445C28"/>
    <w:rsid w:val="00445DDF"/>
    <w:rsid w:val="00447CC9"/>
    <w:rsid w:val="004502DD"/>
    <w:rsid w:val="00450732"/>
    <w:rsid w:val="00450923"/>
    <w:rsid w:val="004511DC"/>
    <w:rsid w:val="0045149A"/>
    <w:rsid w:val="00451BE8"/>
    <w:rsid w:val="00452529"/>
    <w:rsid w:val="00453BA5"/>
    <w:rsid w:val="00455890"/>
    <w:rsid w:val="00455C31"/>
    <w:rsid w:val="00455D0C"/>
    <w:rsid w:val="00455ED6"/>
    <w:rsid w:val="00455FFE"/>
    <w:rsid w:val="004562E8"/>
    <w:rsid w:val="00456788"/>
    <w:rsid w:val="00461BAC"/>
    <w:rsid w:val="00461EDF"/>
    <w:rsid w:val="00462E3A"/>
    <w:rsid w:val="00464AEE"/>
    <w:rsid w:val="004659AA"/>
    <w:rsid w:val="004663F4"/>
    <w:rsid w:val="0046695D"/>
    <w:rsid w:val="004676F1"/>
    <w:rsid w:val="00471147"/>
    <w:rsid w:val="00472A4F"/>
    <w:rsid w:val="004769BB"/>
    <w:rsid w:val="00476FE4"/>
    <w:rsid w:val="00481BBF"/>
    <w:rsid w:val="0048254B"/>
    <w:rsid w:val="00484851"/>
    <w:rsid w:val="00484E82"/>
    <w:rsid w:val="00486BFB"/>
    <w:rsid w:val="00486CAE"/>
    <w:rsid w:val="004870D2"/>
    <w:rsid w:val="00492272"/>
    <w:rsid w:val="00492824"/>
    <w:rsid w:val="004937E4"/>
    <w:rsid w:val="0049446F"/>
    <w:rsid w:val="00494B5B"/>
    <w:rsid w:val="004967E0"/>
    <w:rsid w:val="00496903"/>
    <w:rsid w:val="004A073F"/>
    <w:rsid w:val="004A0DA1"/>
    <w:rsid w:val="004A1279"/>
    <w:rsid w:val="004A32E4"/>
    <w:rsid w:val="004A3ED6"/>
    <w:rsid w:val="004A5213"/>
    <w:rsid w:val="004A5757"/>
    <w:rsid w:val="004A5DEF"/>
    <w:rsid w:val="004B0AAF"/>
    <w:rsid w:val="004B13C8"/>
    <w:rsid w:val="004B1713"/>
    <w:rsid w:val="004B2490"/>
    <w:rsid w:val="004B2C96"/>
    <w:rsid w:val="004B4A4C"/>
    <w:rsid w:val="004B515D"/>
    <w:rsid w:val="004B5335"/>
    <w:rsid w:val="004B5CB4"/>
    <w:rsid w:val="004B64A9"/>
    <w:rsid w:val="004C0198"/>
    <w:rsid w:val="004C2DB5"/>
    <w:rsid w:val="004C3427"/>
    <w:rsid w:val="004C42C4"/>
    <w:rsid w:val="004C77F3"/>
    <w:rsid w:val="004C7E4C"/>
    <w:rsid w:val="004D1FC9"/>
    <w:rsid w:val="004D3F4F"/>
    <w:rsid w:val="004D4CA7"/>
    <w:rsid w:val="004D5B5F"/>
    <w:rsid w:val="004D5DD6"/>
    <w:rsid w:val="004D7E5D"/>
    <w:rsid w:val="004E0208"/>
    <w:rsid w:val="004E054A"/>
    <w:rsid w:val="004E12DF"/>
    <w:rsid w:val="004E34F4"/>
    <w:rsid w:val="004E3D03"/>
    <w:rsid w:val="004E4A21"/>
    <w:rsid w:val="004E5267"/>
    <w:rsid w:val="004E52D3"/>
    <w:rsid w:val="004E5C94"/>
    <w:rsid w:val="004E5D0D"/>
    <w:rsid w:val="004E72DE"/>
    <w:rsid w:val="004F0072"/>
    <w:rsid w:val="004F0DB3"/>
    <w:rsid w:val="004F0FBA"/>
    <w:rsid w:val="004F2EB5"/>
    <w:rsid w:val="004F391A"/>
    <w:rsid w:val="004F522F"/>
    <w:rsid w:val="004F752B"/>
    <w:rsid w:val="004F77A0"/>
    <w:rsid w:val="0050088D"/>
    <w:rsid w:val="00500D41"/>
    <w:rsid w:val="0050142B"/>
    <w:rsid w:val="00502928"/>
    <w:rsid w:val="0050369F"/>
    <w:rsid w:val="00504195"/>
    <w:rsid w:val="005058B4"/>
    <w:rsid w:val="00506406"/>
    <w:rsid w:val="00507724"/>
    <w:rsid w:val="005113F4"/>
    <w:rsid w:val="00511A1A"/>
    <w:rsid w:val="0051392F"/>
    <w:rsid w:val="00515206"/>
    <w:rsid w:val="00515835"/>
    <w:rsid w:val="00515ACC"/>
    <w:rsid w:val="00516EC8"/>
    <w:rsid w:val="005176DB"/>
    <w:rsid w:val="00521859"/>
    <w:rsid w:val="005222EB"/>
    <w:rsid w:val="00522934"/>
    <w:rsid w:val="00523B6E"/>
    <w:rsid w:val="00523C16"/>
    <w:rsid w:val="00524E7A"/>
    <w:rsid w:val="005253D5"/>
    <w:rsid w:val="00525A46"/>
    <w:rsid w:val="00525F5A"/>
    <w:rsid w:val="005260A5"/>
    <w:rsid w:val="00526992"/>
    <w:rsid w:val="00527349"/>
    <w:rsid w:val="00530263"/>
    <w:rsid w:val="005322F7"/>
    <w:rsid w:val="0053237D"/>
    <w:rsid w:val="005353E1"/>
    <w:rsid w:val="00536047"/>
    <w:rsid w:val="00536329"/>
    <w:rsid w:val="00537584"/>
    <w:rsid w:val="00537C42"/>
    <w:rsid w:val="005402F4"/>
    <w:rsid w:val="00540F7C"/>
    <w:rsid w:val="00544592"/>
    <w:rsid w:val="00544B16"/>
    <w:rsid w:val="00545064"/>
    <w:rsid w:val="0054508D"/>
    <w:rsid w:val="0054547F"/>
    <w:rsid w:val="005454A6"/>
    <w:rsid w:val="00545A58"/>
    <w:rsid w:val="005500CF"/>
    <w:rsid w:val="0055094F"/>
    <w:rsid w:val="00551E91"/>
    <w:rsid w:val="005521D3"/>
    <w:rsid w:val="00553838"/>
    <w:rsid w:val="00553FDD"/>
    <w:rsid w:val="00556682"/>
    <w:rsid w:val="0055672A"/>
    <w:rsid w:val="00556856"/>
    <w:rsid w:val="005573DB"/>
    <w:rsid w:val="0056165C"/>
    <w:rsid w:val="00561CCA"/>
    <w:rsid w:val="005649CE"/>
    <w:rsid w:val="00564EAE"/>
    <w:rsid w:val="00565282"/>
    <w:rsid w:val="005660B1"/>
    <w:rsid w:val="00566903"/>
    <w:rsid w:val="0056723B"/>
    <w:rsid w:val="00570BF0"/>
    <w:rsid w:val="00570E42"/>
    <w:rsid w:val="0057143A"/>
    <w:rsid w:val="00572714"/>
    <w:rsid w:val="00573CD4"/>
    <w:rsid w:val="0057513B"/>
    <w:rsid w:val="005755F7"/>
    <w:rsid w:val="00575BF8"/>
    <w:rsid w:val="0057741A"/>
    <w:rsid w:val="00577621"/>
    <w:rsid w:val="00580B49"/>
    <w:rsid w:val="005829EA"/>
    <w:rsid w:val="00582EB3"/>
    <w:rsid w:val="0058325E"/>
    <w:rsid w:val="005848D7"/>
    <w:rsid w:val="00585336"/>
    <w:rsid w:val="005900EE"/>
    <w:rsid w:val="005904D5"/>
    <w:rsid w:val="005904E1"/>
    <w:rsid w:val="00591F40"/>
    <w:rsid w:val="005934D0"/>
    <w:rsid w:val="00596298"/>
    <w:rsid w:val="005A0C0D"/>
    <w:rsid w:val="005A1B3B"/>
    <w:rsid w:val="005A1C34"/>
    <w:rsid w:val="005A2742"/>
    <w:rsid w:val="005A2807"/>
    <w:rsid w:val="005A2B10"/>
    <w:rsid w:val="005A2E45"/>
    <w:rsid w:val="005A49F2"/>
    <w:rsid w:val="005A6AC3"/>
    <w:rsid w:val="005A724A"/>
    <w:rsid w:val="005A780C"/>
    <w:rsid w:val="005A7B82"/>
    <w:rsid w:val="005A7F15"/>
    <w:rsid w:val="005B0644"/>
    <w:rsid w:val="005B2DF9"/>
    <w:rsid w:val="005B3A3E"/>
    <w:rsid w:val="005B6414"/>
    <w:rsid w:val="005B7B58"/>
    <w:rsid w:val="005C0EB7"/>
    <w:rsid w:val="005C20A2"/>
    <w:rsid w:val="005C25FC"/>
    <w:rsid w:val="005C378C"/>
    <w:rsid w:val="005C3B98"/>
    <w:rsid w:val="005C685E"/>
    <w:rsid w:val="005C6927"/>
    <w:rsid w:val="005C6B61"/>
    <w:rsid w:val="005D0B6F"/>
    <w:rsid w:val="005D1735"/>
    <w:rsid w:val="005D35FE"/>
    <w:rsid w:val="005D6344"/>
    <w:rsid w:val="005D6360"/>
    <w:rsid w:val="005D68F5"/>
    <w:rsid w:val="005E02B3"/>
    <w:rsid w:val="005E1144"/>
    <w:rsid w:val="005E2C5D"/>
    <w:rsid w:val="005E3E77"/>
    <w:rsid w:val="005E3EBD"/>
    <w:rsid w:val="005E4CD2"/>
    <w:rsid w:val="005E508E"/>
    <w:rsid w:val="005E70E1"/>
    <w:rsid w:val="005E791B"/>
    <w:rsid w:val="005E7C7C"/>
    <w:rsid w:val="005E7D17"/>
    <w:rsid w:val="005E7D8D"/>
    <w:rsid w:val="005F06C4"/>
    <w:rsid w:val="005F164E"/>
    <w:rsid w:val="005F1921"/>
    <w:rsid w:val="005F360E"/>
    <w:rsid w:val="005F3DF4"/>
    <w:rsid w:val="005F4C56"/>
    <w:rsid w:val="005F604A"/>
    <w:rsid w:val="005F69A4"/>
    <w:rsid w:val="00600A2D"/>
    <w:rsid w:val="00601676"/>
    <w:rsid w:val="00601941"/>
    <w:rsid w:val="00603E00"/>
    <w:rsid w:val="00604FCF"/>
    <w:rsid w:val="00605055"/>
    <w:rsid w:val="0060564F"/>
    <w:rsid w:val="0060783C"/>
    <w:rsid w:val="00607BDE"/>
    <w:rsid w:val="00607CB7"/>
    <w:rsid w:val="00610366"/>
    <w:rsid w:val="006114C2"/>
    <w:rsid w:val="00614630"/>
    <w:rsid w:val="0061558D"/>
    <w:rsid w:val="0061596B"/>
    <w:rsid w:val="00616FCC"/>
    <w:rsid w:val="00617801"/>
    <w:rsid w:val="00617EDD"/>
    <w:rsid w:val="00620D0C"/>
    <w:rsid w:val="0062105C"/>
    <w:rsid w:val="006219F2"/>
    <w:rsid w:val="00622934"/>
    <w:rsid w:val="00623587"/>
    <w:rsid w:val="00623D08"/>
    <w:rsid w:val="00624BC8"/>
    <w:rsid w:val="00625257"/>
    <w:rsid w:val="006258C3"/>
    <w:rsid w:val="00630035"/>
    <w:rsid w:val="00630D6F"/>
    <w:rsid w:val="00631147"/>
    <w:rsid w:val="006317C1"/>
    <w:rsid w:val="00631999"/>
    <w:rsid w:val="00632104"/>
    <w:rsid w:val="006326FF"/>
    <w:rsid w:val="00634525"/>
    <w:rsid w:val="006348CA"/>
    <w:rsid w:val="006350F9"/>
    <w:rsid w:val="006357B0"/>
    <w:rsid w:val="00635931"/>
    <w:rsid w:val="00636128"/>
    <w:rsid w:val="006372F5"/>
    <w:rsid w:val="00640D33"/>
    <w:rsid w:val="0064425E"/>
    <w:rsid w:val="006449EF"/>
    <w:rsid w:val="00646EC5"/>
    <w:rsid w:val="006479D7"/>
    <w:rsid w:val="00652FD2"/>
    <w:rsid w:val="006533DE"/>
    <w:rsid w:val="006539DC"/>
    <w:rsid w:val="006548C6"/>
    <w:rsid w:val="00655863"/>
    <w:rsid w:val="0065668E"/>
    <w:rsid w:val="00656DFD"/>
    <w:rsid w:val="0065702E"/>
    <w:rsid w:val="00657756"/>
    <w:rsid w:val="00660636"/>
    <w:rsid w:val="00660710"/>
    <w:rsid w:val="0066145F"/>
    <w:rsid w:val="006627B0"/>
    <w:rsid w:val="00662BF5"/>
    <w:rsid w:val="00663366"/>
    <w:rsid w:val="0066560D"/>
    <w:rsid w:val="00665B01"/>
    <w:rsid w:val="00666220"/>
    <w:rsid w:val="006673DF"/>
    <w:rsid w:val="006730E7"/>
    <w:rsid w:val="00673516"/>
    <w:rsid w:val="00673C4B"/>
    <w:rsid w:val="00673F09"/>
    <w:rsid w:val="0067485A"/>
    <w:rsid w:val="00674899"/>
    <w:rsid w:val="0067666E"/>
    <w:rsid w:val="00677209"/>
    <w:rsid w:val="006777B5"/>
    <w:rsid w:val="00677FDF"/>
    <w:rsid w:val="0068101D"/>
    <w:rsid w:val="00682CA5"/>
    <w:rsid w:val="00682E85"/>
    <w:rsid w:val="006845E7"/>
    <w:rsid w:val="00685399"/>
    <w:rsid w:val="00686778"/>
    <w:rsid w:val="006872B2"/>
    <w:rsid w:val="00687350"/>
    <w:rsid w:val="00687DD3"/>
    <w:rsid w:val="00687E53"/>
    <w:rsid w:val="00690769"/>
    <w:rsid w:val="00695AF9"/>
    <w:rsid w:val="006963BF"/>
    <w:rsid w:val="0069686D"/>
    <w:rsid w:val="00697B9A"/>
    <w:rsid w:val="006A0A43"/>
    <w:rsid w:val="006A0AFC"/>
    <w:rsid w:val="006A138E"/>
    <w:rsid w:val="006A387F"/>
    <w:rsid w:val="006A5843"/>
    <w:rsid w:val="006A5900"/>
    <w:rsid w:val="006A628D"/>
    <w:rsid w:val="006A646F"/>
    <w:rsid w:val="006A6B45"/>
    <w:rsid w:val="006B024C"/>
    <w:rsid w:val="006B17FC"/>
    <w:rsid w:val="006B2156"/>
    <w:rsid w:val="006B331C"/>
    <w:rsid w:val="006B4754"/>
    <w:rsid w:val="006B6000"/>
    <w:rsid w:val="006B6269"/>
    <w:rsid w:val="006B6D0E"/>
    <w:rsid w:val="006B7D72"/>
    <w:rsid w:val="006C04B3"/>
    <w:rsid w:val="006C152B"/>
    <w:rsid w:val="006C4D19"/>
    <w:rsid w:val="006C70FB"/>
    <w:rsid w:val="006D1BAE"/>
    <w:rsid w:val="006D32B4"/>
    <w:rsid w:val="006D44C0"/>
    <w:rsid w:val="006D4528"/>
    <w:rsid w:val="006D4DB9"/>
    <w:rsid w:val="006D5537"/>
    <w:rsid w:val="006D764B"/>
    <w:rsid w:val="006E033C"/>
    <w:rsid w:val="006E1946"/>
    <w:rsid w:val="006E197A"/>
    <w:rsid w:val="006E1BD2"/>
    <w:rsid w:val="006E35FF"/>
    <w:rsid w:val="006E429F"/>
    <w:rsid w:val="006E4C59"/>
    <w:rsid w:val="006E5056"/>
    <w:rsid w:val="006E7221"/>
    <w:rsid w:val="006E7343"/>
    <w:rsid w:val="006E7869"/>
    <w:rsid w:val="006F0FF0"/>
    <w:rsid w:val="006F5A90"/>
    <w:rsid w:val="006F657E"/>
    <w:rsid w:val="006F731D"/>
    <w:rsid w:val="00700350"/>
    <w:rsid w:val="00700D0C"/>
    <w:rsid w:val="00701860"/>
    <w:rsid w:val="00702760"/>
    <w:rsid w:val="007044AD"/>
    <w:rsid w:val="007051A6"/>
    <w:rsid w:val="0070637E"/>
    <w:rsid w:val="007067B1"/>
    <w:rsid w:val="00707B88"/>
    <w:rsid w:val="00707C88"/>
    <w:rsid w:val="00707DF4"/>
    <w:rsid w:val="00707F63"/>
    <w:rsid w:val="007113FC"/>
    <w:rsid w:val="00713052"/>
    <w:rsid w:val="00713DE9"/>
    <w:rsid w:val="007159BB"/>
    <w:rsid w:val="00716E27"/>
    <w:rsid w:val="00717713"/>
    <w:rsid w:val="00717B35"/>
    <w:rsid w:val="007206DE"/>
    <w:rsid w:val="00721723"/>
    <w:rsid w:val="00721F61"/>
    <w:rsid w:val="0072283A"/>
    <w:rsid w:val="0072303C"/>
    <w:rsid w:val="00723471"/>
    <w:rsid w:val="007247DA"/>
    <w:rsid w:val="00724EE7"/>
    <w:rsid w:val="00725306"/>
    <w:rsid w:val="0072544D"/>
    <w:rsid w:val="00726442"/>
    <w:rsid w:val="007303BF"/>
    <w:rsid w:val="00730984"/>
    <w:rsid w:val="00731A54"/>
    <w:rsid w:val="00731A5F"/>
    <w:rsid w:val="007335A9"/>
    <w:rsid w:val="00735524"/>
    <w:rsid w:val="00735C22"/>
    <w:rsid w:val="00736528"/>
    <w:rsid w:val="00737DDC"/>
    <w:rsid w:val="007413F0"/>
    <w:rsid w:val="00741D2F"/>
    <w:rsid w:val="0074269E"/>
    <w:rsid w:val="00742849"/>
    <w:rsid w:val="00742DB2"/>
    <w:rsid w:val="00743B8D"/>
    <w:rsid w:val="0074421A"/>
    <w:rsid w:val="00744E85"/>
    <w:rsid w:val="007450BA"/>
    <w:rsid w:val="00745B22"/>
    <w:rsid w:val="00746797"/>
    <w:rsid w:val="007477BE"/>
    <w:rsid w:val="00747CDB"/>
    <w:rsid w:val="007501B7"/>
    <w:rsid w:val="00750FB7"/>
    <w:rsid w:val="00751F52"/>
    <w:rsid w:val="00752967"/>
    <w:rsid w:val="007536A0"/>
    <w:rsid w:val="007555F4"/>
    <w:rsid w:val="00757224"/>
    <w:rsid w:val="007577C5"/>
    <w:rsid w:val="00760C12"/>
    <w:rsid w:val="00761E4D"/>
    <w:rsid w:val="00762B41"/>
    <w:rsid w:val="0076405F"/>
    <w:rsid w:val="007669C9"/>
    <w:rsid w:val="0077138B"/>
    <w:rsid w:val="007729ED"/>
    <w:rsid w:val="00773B47"/>
    <w:rsid w:val="0077594C"/>
    <w:rsid w:val="007809F8"/>
    <w:rsid w:val="00780A8A"/>
    <w:rsid w:val="00782CB4"/>
    <w:rsid w:val="00783D3A"/>
    <w:rsid w:val="00785055"/>
    <w:rsid w:val="007871BC"/>
    <w:rsid w:val="00791158"/>
    <w:rsid w:val="00791889"/>
    <w:rsid w:val="00792D46"/>
    <w:rsid w:val="00792ED5"/>
    <w:rsid w:val="00793620"/>
    <w:rsid w:val="0079439E"/>
    <w:rsid w:val="007949B7"/>
    <w:rsid w:val="00794E20"/>
    <w:rsid w:val="00795667"/>
    <w:rsid w:val="007957C5"/>
    <w:rsid w:val="00796897"/>
    <w:rsid w:val="00796976"/>
    <w:rsid w:val="00797352"/>
    <w:rsid w:val="00797FB3"/>
    <w:rsid w:val="007A0B63"/>
    <w:rsid w:val="007A0BEC"/>
    <w:rsid w:val="007A1449"/>
    <w:rsid w:val="007A1848"/>
    <w:rsid w:val="007A2E38"/>
    <w:rsid w:val="007A3AFA"/>
    <w:rsid w:val="007A57D2"/>
    <w:rsid w:val="007A5A1D"/>
    <w:rsid w:val="007A6F61"/>
    <w:rsid w:val="007B13A7"/>
    <w:rsid w:val="007B24C0"/>
    <w:rsid w:val="007B49F1"/>
    <w:rsid w:val="007B5227"/>
    <w:rsid w:val="007B5345"/>
    <w:rsid w:val="007B5B4A"/>
    <w:rsid w:val="007B6227"/>
    <w:rsid w:val="007B67AE"/>
    <w:rsid w:val="007B69AB"/>
    <w:rsid w:val="007C004F"/>
    <w:rsid w:val="007C07AA"/>
    <w:rsid w:val="007C08B6"/>
    <w:rsid w:val="007C3E80"/>
    <w:rsid w:val="007C463B"/>
    <w:rsid w:val="007C5883"/>
    <w:rsid w:val="007C7FB4"/>
    <w:rsid w:val="007D0353"/>
    <w:rsid w:val="007D3F05"/>
    <w:rsid w:val="007D4520"/>
    <w:rsid w:val="007D4CA9"/>
    <w:rsid w:val="007D6641"/>
    <w:rsid w:val="007D6D89"/>
    <w:rsid w:val="007D7F5C"/>
    <w:rsid w:val="007E0822"/>
    <w:rsid w:val="007E0E88"/>
    <w:rsid w:val="007E0EF7"/>
    <w:rsid w:val="007E3B4F"/>
    <w:rsid w:val="007E3C6B"/>
    <w:rsid w:val="007E40B7"/>
    <w:rsid w:val="007E4451"/>
    <w:rsid w:val="007E4AE8"/>
    <w:rsid w:val="007E5E58"/>
    <w:rsid w:val="007E7EA6"/>
    <w:rsid w:val="007E7EAC"/>
    <w:rsid w:val="007E7F76"/>
    <w:rsid w:val="007F0957"/>
    <w:rsid w:val="007F0DC9"/>
    <w:rsid w:val="007F2A5D"/>
    <w:rsid w:val="007F2EAF"/>
    <w:rsid w:val="007F4814"/>
    <w:rsid w:val="007F4FCE"/>
    <w:rsid w:val="007F5A77"/>
    <w:rsid w:val="007F60FD"/>
    <w:rsid w:val="007F631C"/>
    <w:rsid w:val="007F6B43"/>
    <w:rsid w:val="007F6D58"/>
    <w:rsid w:val="007F6D84"/>
    <w:rsid w:val="007F6F0D"/>
    <w:rsid w:val="0080083C"/>
    <w:rsid w:val="008008C6"/>
    <w:rsid w:val="00800D21"/>
    <w:rsid w:val="008012A6"/>
    <w:rsid w:val="008024A0"/>
    <w:rsid w:val="00802D21"/>
    <w:rsid w:val="008037BB"/>
    <w:rsid w:val="00803AC1"/>
    <w:rsid w:val="0080565B"/>
    <w:rsid w:val="00805931"/>
    <w:rsid w:val="00806818"/>
    <w:rsid w:val="008102BB"/>
    <w:rsid w:val="008109EF"/>
    <w:rsid w:val="0081158B"/>
    <w:rsid w:val="008118F4"/>
    <w:rsid w:val="00812F93"/>
    <w:rsid w:val="0081446C"/>
    <w:rsid w:val="008159BD"/>
    <w:rsid w:val="00816514"/>
    <w:rsid w:val="00816E17"/>
    <w:rsid w:val="00824835"/>
    <w:rsid w:val="00824D29"/>
    <w:rsid w:val="00825CB9"/>
    <w:rsid w:val="008262C7"/>
    <w:rsid w:val="008279FD"/>
    <w:rsid w:val="0083034A"/>
    <w:rsid w:val="00830E3E"/>
    <w:rsid w:val="008318EF"/>
    <w:rsid w:val="00831BB2"/>
    <w:rsid w:val="008345B8"/>
    <w:rsid w:val="00835168"/>
    <w:rsid w:val="00835685"/>
    <w:rsid w:val="0083568C"/>
    <w:rsid w:val="00835A64"/>
    <w:rsid w:val="008371E2"/>
    <w:rsid w:val="0084002F"/>
    <w:rsid w:val="008400F9"/>
    <w:rsid w:val="0084037F"/>
    <w:rsid w:val="00841857"/>
    <w:rsid w:val="00843894"/>
    <w:rsid w:val="008444EB"/>
    <w:rsid w:val="00845347"/>
    <w:rsid w:val="00846061"/>
    <w:rsid w:val="00846AD5"/>
    <w:rsid w:val="008474E3"/>
    <w:rsid w:val="00847B66"/>
    <w:rsid w:val="00850A22"/>
    <w:rsid w:val="00852251"/>
    <w:rsid w:val="00852402"/>
    <w:rsid w:val="0085363E"/>
    <w:rsid w:val="00854D0D"/>
    <w:rsid w:val="00855943"/>
    <w:rsid w:val="00855B7D"/>
    <w:rsid w:val="0085646E"/>
    <w:rsid w:val="008574F6"/>
    <w:rsid w:val="00860BFE"/>
    <w:rsid w:val="0086158D"/>
    <w:rsid w:val="0086169D"/>
    <w:rsid w:val="0086248E"/>
    <w:rsid w:val="00862AAF"/>
    <w:rsid w:val="008635BC"/>
    <w:rsid w:val="008665FE"/>
    <w:rsid w:val="00867BF9"/>
    <w:rsid w:val="0087270A"/>
    <w:rsid w:val="008730CD"/>
    <w:rsid w:val="008738E0"/>
    <w:rsid w:val="0087453B"/>
    <w:rsid w:val="008773A9"/>
    <w:rsid w:val="00880D97"/>
    <w:rsid w:val="008816FA"/>
    <w:rsid w:val="00882193"/>
    <w:rsid w:val="00882E0C"/>
    <w:rsid w:val="00883AFE"/>
    <w:rsid w:val="008849D8"/>
    <w:rsid w:val="00885515"/>
    <w:rsid w:val="0088556C"/>
    <w:rsid w:val="0088665A"/>
    <w:rsid w:val="00886DD0"/>
    <w:rsid w:val="0088714C"/>
    <w:rsid w:val="00887E5B"/>
    <w:rsid w:val="008902D3"/>
    <w:rsid w:val="00890E4D"/>
    <w:rsid w:val="0089156A"/>
    <w:rsid w:val="00893EAB"/>
    <w:rsid w:val="0089659F"/>
    <w:rsid w:val="0089743E"/>
    <w:rsid w:val="008976E9"/>
    <w:rsid w:val="008A11FE"/>
    <w:rsid w:val="008A17DE"/>
    <w:rsid w:val="008A1AEB"/>
    <w:rsid w:val="008A23AE"/>
    <w:rsid w:val="008A274D"/>
    <w:rsid w:val="008A50D9"/>
    <w:rsid w:val="008A62BC"/>
    <w:rsid w:val="008A6FB6"/>
    <w:rsid w:val="008A7B1C"/>
    <w:rsid w:val="008B00BE"/>
    <w:rsid w:val="008B0F26"/>
    <w:rsid w:val="008B1B40"/>
    <w:rsid w:val="008B230D"/>
    <w:rsid w:val="008B2969"/>
    <w:rsid w:val="008B359C"/>
    <w:rsid w:val="008B64C5"/>
    <w:rsid w:val="008B65D0"/>
    <w:rsid w:val="008B69F7"/>
    <w:rsid w:val="008B75E5"/>
    <w:rsid w:val="008B7C98"/>
    <w:rsid w:val="008B7EE6"/>
    <w:rsid w:val="008C0E6E"/>
    <w:rsid w:val="008C119C"/>
    <w:rsid w:val="008C4712"/>
    <w:rsid w:val="008C55B8"/>
    <w:rsid w:val="008C5738"/>
    <w:rsid w:val="008C5BC4"/>
    <w:rsid w:val="008C6C08"/>
    <w:rsid w:val="008C6C36"/>
    <w:rsid w:val="008D2FE7"/>
    <w:rsid w:val="008D345B"/>
    <w:rsid w:val="008D36B3"/>
    <w:rsid w:val="008D41CD"/>
    <w:rsid w:val="008D4DDB"/>
    <w:rsid w:val="008D5E5E"/>
    <w:rsid w:val="008D7EBE"/>
    <w:rsid w:val="008D7F1C"/>
    <w:rsid w:val="008E018C"/>
    <w:rsid w:val="008E0D57"/>
    <w:rsid w:val="008E144D"/>
    <w:rsid w:val="008E3DC6"/>
    <w:rsid w:val="008E4075"/>
    <w:rsid w:val="008E52EE"/>
    <w:rsid w:val="008E77F1"/>
    <w:rsid w:val="008E78D2"/>
    <w:rsid w:val="008E7D59"/>
    <w:rsid w:val="008F00B1"/>
    <w:rsid w:val="008F5031"/>
    <w:rsid w:val="008F62A0"/>
    <w:rsid w:val="008F6ECA"/>
    <w:rsid w:val="008F73CA"/>
    <w:rsid w:val="009005D1"/>
    <w:rsid w:val="00901475"/>
    <w:rsid w:val="009016F4"/>
    <w:rsid w:val="0090170A"/>
    <w:rsid w:val="0090399B"/>
    <w:rsid w:val="00903D56"/>
    <w:rsid w:val="00904479"/>
    <w:rsid w:val="00904A7A"/>
    <w:rsid w:val="00905650"/>
    <w:rsid w:val="00906825"/>
    <w:rsid w:val="00907932"/>
    <w:rsid w:val="009079B8"/>
    <w:rsid w:val="009079E6"/>
    <w:rsid w:val="00907B45"/>
    <w:rsid w:val="0091045D"/>
    <w:rsid w:val="00910947"/>
    <w:rsid w:val="009113CD"/>
    <w:rsid w:val="00912857"/>
    <w:rsid w:val="00912F21"/>
    <w:rsid w:val="00915416"/>
    <w:rsid w:val="0091579C"/>
    <w:rsid w:val="00916B47"/>
    <w:rsid w:val="00917332"/>
    <w:rsid w:val="009173EF"/>
    <w:rsid w:val="0092057F"/>
    <w:rsid w:val="00920B08"/>
    <w:rsid w:val="0092117E"/>
    <w:rsid w:val="0092295B"/>
    <w:rsid w:val="00922F3E"/>
    <w:rsid w:val="00925DD0"/>
    <w:rsid w:val="009262E1"/>
    <w:rsid w:val="00926312"/>
    <w:rsid w:val="0093199A"/>
    <w:rsid w:val="00931AA0"/>
    <w:rsid w:val="00932DB4"/>
    <w:rsid w:val="00932FBA"/>
    <w:rsid w:val="00933396"/>
    <w:rsid w:val="00934267"/>
    <w:rsid w:val="009368B0"/>
    <w:rsid w:val="00936E97"/>
    <w:rsid w:val="00940DAB"/>
    <w:rsid w:val="00941B1B"/>
    <w:rsid w:val="00943C08"/>
    <w:rsid w:val="0094743C"/>
    <w:rsid w:val="00950423"/>
    <w:rsid w:val="00950431"/>
    <w:rsid w:val="0095207C"/>
    <w:rsid w:val="00952782"/>
    <w:rsid w:val="00953EC1"/>
    <w:rsid w:val="00957D7F"/>
    <w:rsid w:val="009601F8"/>
    <w:rsid w:val="009602D1"/>
    <w:rsid w:val="00960612"/>
    <w:rsid w:val="00960B4B"/>
    <w:rsid w:val="00960CB1"/>
    <w:rsid w:val="00960F21"/>
    <w:rsid w:val="00960FDC"/>
    <w:rsid w:val="00962C6D"/>
    <w:rsid w:val="00962ECD"/>
    <w:rsid w:val="00963459"/>
    <w:rsid w:val="0096392A"/>
    <w:rsid w:val="00963CF8"/>
    <w:rsid w:val="00966100"/>
    <w:rsid w:val="009662D9"/>
    <w:rsid w:val="0096672A"/>
    <w:rsid w:val="00967282"/>
    <w:rsid w:val="009714BA"/>
    <w:rsid w:val="00971A1B"/>
    <w:rsid w:val="00973060"/>
    <w:rsid w:val="00973239"/>
    <w:rsid w:val="00974948"/>
    <w:rsid w:val="009749E2"/>
    <w:rsid w:val="00976060"/>
    <w:rsid w:val="009776F2"/>
    <w:rsid w:val="00980CEE"/>
    <w:rsid w:val="00981101"/>
    <w:rsid w:val="009824F3"/>
    <w:rsid w:val="00982804"/>
    <w:rsid w:val="00982CC2"/>
    <w:rsid w:val="00983442"/>
    <w:rsid w:val="00984254"/>
    <w:rsid w:val="00985115"/>
    <w:rsid w:val="00985313"/>
    <w:rsid w:val="009861B7"/>
    <w:rsid w:val="0098674A"/>
    <w:rsid w:val="00987F9A"/>
    <w:rsid w:val="00990570"/>
    <w:rsid w:val="0099114D"/>
    <w:rsid w:val="00991248"/>
    <w:rsid w:val="00991783"/>
    <w:rsid w:val="00997466"/>
    <w:rsid w:val="0099768A"/>
    <w:rsid w:val="009977A3"/>
    <w:rsid w:val="00997AB1"/>
    <w:rsid w:val="009A08FC"/>
    <w:rsid w:val="009A0F36"/>
    <w:rsid w:val="009A126B"/>
    <w:rsid w:val="009A403A"/>
    <w:rsid w:val="009A45AF"/>
    <w:rsid w:val="009A57A7"/>
    <w:rsid w:val="009A707F"/>
    <w:rsid w:val="009A7513"/>
    <w:rsid w:val="009A78B5"/>
    <w:rsid w:val="009B055B"/>
    <w:rsid w:val="009B0AFC"/>
    <w:rsid w:val="009B159D"/>
    <w:rsid w:val="009B1BBC"/>
    <w:rsid w:val="009B1F7A"/>
    <w:rsid w:val="009B2253"/>
    <w:rsid w:val="009B39B7"/>
    <w:rsid w:val="009B4775"/>
    <w:rsid w:val="009B5C46"/>
    <w:rsid w:val="009B74F6"/>
    <w:rsid w:val="009C12A8"/>
    <w:rsid w:val="009C133C"/>
    <w:rsid w:val="009C14BE"/>
    <w:rsid w:val="009C2CAD"/>
    <w:rsid w:val="009C3224"/>
    <w:rsid w:val="009C3235"/>
    <w:rsid w:val="009C51AE"/>
    <w:rsid w:val="009C541E"/>
    <w:rsid w:val="009C5D9B"/>
    <w:rsid w:val="009D0409"/>
    <w:rsid w:val="009D1ECF"/>
    <w:rsid w:val="009D2373"/>
    <w:rsid w:val="009D301B"/>
    <w:rsid w:val="009D31BF"/>
    <w:rsid w:val="009D37ED"/>
    <w:rsid w:val="009D52BF"/>
    <w:rsid w:val="009D55D1"/>
    <w:rsid w:val="009D6924"/>
    <w:rsid w:val="009D7199"/>
    <w:rsid w:val="009D7D4B"/>
    <w:rsid w:val="009E1259"/>
    <w:rsid w:val="009E2981"/>
    <w:rsid w:val="009E3BDC"/>
    <w:rsid w:val="009E416D"/>
    <w:rsid w:val="009E52BC"/>
    <w:rsid w:val="009E5AD8"/>
    <w:rsid w:val="009E5B77"/>
    <w:rsid w:val="009E5DAF"/>
    <w:rsid w:val="009F1901"/>
    <w:rsid w:val="009F390C"/>
    <w:rsid w:val="009F4906"/>
    <w:rsid w:val="009F6186"/>
    <w:rsid w:val="009F6892"/>
    <w:rsid w:val="009F72F4"/>
    <w:rsid w:val="009F7929"/>
    <w:rsid w:val="009F7A8B"/>
    <w:rsid w:val="00A04969"/>
    <w:rsid w:val="00A06A48"/>
    <w:rsid w:val="00A06F28"/>
    <w:rsid w:val="00A0735F"/>
    <w:rsid w:val="00A07774"/>
    <w:rsid w:val="00A12108"/>
    <w:rsid w:val="00A134D9"/>
    <w:rsid w:val="00A13CFB"/>
    <w:rsid w:val="00A15F6C"/>
    <w:rsid w:val="00A16D90"/>
    <w:rsid w:val="00A17529"/>
    <w:rsid w:val="00A175C9"/>
    <w:rsid w:val="00A17FFB"/>
    <w:rsid w:val="00A2001B"/>
    <w:rsid w:val="00A20501"/>
    <w:rsid w:val="00A21ABF"/>
    <w:rsid w:val="00A22B1B"/>
    <w:rsid w:val="00A22E21"/>
    <w:rsid w:val="00A22F21"/>
    <w:rsid w:val="00A232ED"/>
    <w:rsid w:val="00A234EB"/>
    <w:rsid w:val="00A23914"/>
    <w:rsid w:val="00A245C2"/>
    <w:rsid w:val="00A24AD6"/>
    <w:rsid w:val="00A266AF"/>
    <w:rsid w:val="00A267B8"/>
    <w:rsid w:val="00A2766F"/>
    <w:rsid w:val="00A27C8E"/>
    <w:rsid w:val="00A30599"/>
    <w:rsid w:val="00A31242"/>
    <w:rsid w:val="00A370A1"/>
    <w:rsid w:val="00A37177"/>
    <w:rsid w:val="00A371D5"/>
    <w:rsid w:val="00A372CF"/>
    <w:rsid w:val="00A3783A"/>
    <w:rsid w:val="00A4279F"/>
    <w:rsid w:val="00A42DC3"/>
    <w:rsid w:val="00A43E8B"/>
    <w:rsid w:val="00A45344"/>
    <w:rsid w:val="00A4643C"/>
    <w:rsid w:val="00A469B1"/>
    <w:rsid w:val="00A470A2"/>
    <w:rsid w:val="00A47407"/>
    <w:rsid w:val="00A55F67"/>
    <w:rsid w:val="00A56B3D"/>
    <w:rsid w:val="00A6027B"/>
    <w:rsid w:val="00A61536"/>
    <w:rsid w:val="00A629B7"/>
    <w:rsid w:val="00A6305F"/>
    <w:rsid w:val="00A65DE1"/>
    <w:rsid w:val="00A67764"/>
    <w:rsid w:val="00A67CC7"/>
    <w:rsid w:val="00A7063D"/>
    <w:rsid w:val="00A70676"/>
    <w:rsid w:val="00A71938"/>
    <w:rsid w:val="00A71D38"/>
    <w:rsid w:val="00A7242F"/>
    <w:rsid w:val="00A72EBE"/>
    <w:rsid w:val="00A7550E"/>
    <w:rsid w:val="00A7568D"/>
    <w:rsid w:val="00A76AD2"/>
    <w:rsid w:val="00A76D43"/>
    <w:rsid w:val="00A77F7B"/>
    <w:rsid w:val="00A8018D"/>
    <w:rsid w:val="00A80E03"/>
    <w:rsid w:val="00A822A3"/>
    <w:rsid w:val="00A846D6"/>
    <w:rsid w:val="00A85331"/>
    <w:rsid w:val="00A85AE7"/>
    <w:rsid w:val="00A8672A"/>
    <w:rsid w:val="00A8681E"/>
    <w:rsid w:val="00A86C8A"/>
    <w:rsid w:val="00A87C8C"/>
    <w:rsid w:val="00A90412"/>
    <w:rsid w:val="00A91B25"/>
    <w:rsid w:val="00A91DC2"/>
    <w:rsid w:val="00A9464A"/>
    <w:rsid w:val="00A950AD"/>
    <w:rsid w:val="00A9570C"/>
    <w:rsid w:val="00A96072"/>
    <w:rsid w:val="00A96111"/>
    <w:rsid w:val="00A961D8"/>
    <w:rsid w:val="00AA0091"/>
    <w:rsid w:val="00AA1DCF"/>
    <w:rsid w:val="00AA25D7"/>
    <w:rsid w:val="00AA33CA"/>
    <w:rsid w:val="00AA3B42"/>
    <w:rsid w:val="00AA407B"/>
    <w:rsid w:val="00AA47D0"/>
    <w:rsid w:val="00AA6184"/>
    <w:rsid w:val="00AA763B"/>
    <w:rsid w:val="00AB01AB"/>
    <w:rsid w:val="00AB06D7"/>
    <w:rsid w:val="00AB257C"/>
    <w:rsid w:val="00AB37E0"/>
    <w:rsid w:val="00AB3AD0"/>
    <w:rsid w:val="00AB48BB"/>
    <w:rsid w:val="00AB6072"/>
    <w:rsid w:val="00AB7F92"/>
    <w:rsid w:val="00AC1931"/>
    <w:rsid w:val="00AC1E7C"/>
    <w:rsid w:val="00AC2459"/>
    <w:rsid w:val="00AC2535"/>
    <w:rsid w:val="00AC295A"/>
    <w:rsid w:val="00AC2B93"/>
    <w:rsid w:val="00AC5857"/>
    <w:rsid w:val="00AC6D50"/>
    <w:rsid w:val="00AD102F"/>
    <w:rsid w:val="00AD1566"/>
    <w:rsid w:val="00AD20ED"/>
    <w:rsid w:val="00AD2CD4"/>
    <w:rsid w:val="00AD30F6"/>
    <w:rsid w:val="00AD5328"/>
    <w:rsid w:val="00AD53FE"/>
    <w:rsid w:val="00AD579C"/>
    <w:rsid w:val="00AD7AEE"/>
    <w:rsid w:val="00AE0731"/>
    <w:rsid w:val="00AE1339"/>
    <w:rsid w:val="00AE19BB"/>
    <w:rsid w:val="00AE4E04"/>
    <w:rsid w:val="00AE4F5B"/>
    <w:rsid w:val="00AE586A"/>
    <w:rsid w:val="00AE6215"/>
    <w:rsid w:val="00AF0356"/>
    <w:rsid w:val="00AF06D6"/>
    <w:rsid w:val="00AF26E0"/>
    <w:rsid w:val="00AF2DE4"/>
    <w:rsid w:val="00AF3EDB"/>
    <w:rsid w:val="00AF47F0"/>
    <w:rsid w:val="00AF6F6D"/>
    <w:rsid w:val="00AF6F8E"/>
    <w:rsid w:val="00AF743D"/>
    <w:rsid w:val="00B00A15"/>
    <w:rsid w:val="00B00E44"/>
    <w:rsid w:val="00B01DA2"/>
    <w:rsid w:val="00B022F4"/>
    <w:rsid w:val="00B02320"/>
    <w:rsid w:val="00B05657"/>
    <w:rsid w:val="00B05822"/>
    <w:rsid w:val="00B07841"/>
    <w:rsid w:val="00B10838"/>
    <w:rsid w:val="00B13B4E"/>
    <w:rsid w:val="00B13FEC"/>
    <w:rsid w:val="00B14B6B"/>
    <w:rsid w:val="00B14D8D"/>
    <w:rsid w:val="00B1547F"/>
    <w:rsid w:val="00B15BCA"/>
    <w:rsid w:val="00B169A9"/>
    <w:rsid w:val="00B175D4"/>
    <w:rsid w:val="00B204AA"/>
    <w:rsid w:val="00B21318"/>
    <w:rsid w:val="00B220A6"/>
    <w:rsid w:val="00B226DF"/>
    <w:rsid w:val="00B23C4A"/>
    <w:rsid w:val="00B23D6E"/>
    <w:rsid w:val="00B23F0C"/>
    <w:rsid w:val="00B246B5"/>
    <w:rsid w:val="00B2517B"/>
    <w:rsid w:val="00B258E6"/>
    <w:rsid w:val="00B263D5"/>
    <w:rsid w:val="00B31016"/>
    <w:rsid w:val="00B3379E"/>
    <w:rsid w:val="00B3380E"/>
    <w:rsid w:val="00B34084"/>
    <w:rsid w:val="00B35863"/>
    <w:rsid w:val="00B359DD"/>
    <w:rsid w:val="00B36885"/>
    <w:rsid w:val="00B36EEB"/>
    <w:rsid w:val="00B37058"/>
    <w:rsid w:val="00B37D7A"/>
    <w:rsid w:val="00B405A8"/>
    <w:rsid w:val="00B41642"/>
    <w:rsid w:val="00B42E29"/>
    <w:rsid w:val="00B436F7"/>
    <w:rsid w:val="00B4395F"/>
    <w:rsid w:val="00B448EA"/>
    <w:rsid w:val="00B44BA2"/>
    <w:rsid w:val="00B451F6"/>
    <w:rsid w:val="00B459F0"/>
    <w:rsid w:val="00B45AD7"/>
    <w:rsid w:val="00B45CDC"/>
    <w:rsid w:val="00B4663B"/>
    <w:rsid w:val="00B46AD6"/>
    <w:rsid w:val="00B46D93"/>
    <w:rsid w:val="00B47DAF"/>
    <w:rsid w:val="00B507A0"/>
    <w:rsid w:val="00B50F51"/>
    <w:rsid w:val="00B51464"/>
    <w:rsid w:val="00B54D87"/>
    <w:rsid w:val="00B552C5"/>
    <w:rsid w:val="00B5733B"/>
    <w:rsid w:val="00B57C70"/>
    <w:rsid w:val="00B60520"/>
    <w:rsid w:val="00B61382"/>
    <w:rsid w:val="00B6490A"/>
    <w:rsid w:val="00B64AEE"/>
    <w:rsid w:val="00B64C28"/>
    <w:rsid w:val="00B6554D"/>
    <w:rsid w:val="00B65FFC"/>
    <w:rsid w:val="00B66382"/>
    <w:rsid w:val="00B6663F"/>
    <w:rsid w:val="00B70456"/>
    <w:rsid w:val="00B70D32"/>
    <w:rsid w:val="00B750D0"/>
    <w:rsid w:val="00B754CC"/>
    <w:rsid w:val="00B7580F"/>
    <w:rsid w:val="00B75D24"/>
    <w:rsid w:val="00B7700A"/>
    <w:rsid w:val="00B80531"/>
    <w:rsid w:val="00B80A8D"/>
    <w:rsid w:val="00B843FD"/>
    <w:rsid w:val="00B84A90"/>
    <w:rsid w:val="00B84AEE"/>
    <w:rsid w:val="00B86BD2"/>
    <w:rsid w:val="00B874FD"/>
    <w:rsid w:val="00B87C8A"/>
    <w:rsid w:val="00B87EBA"/>
    <w:rsid w:val="00B90762"/>
    <w:rsid w:val="00B91172"/>
    <w:rsid w:val="00B91179"/>
    <w:rsid w:val="00B9127C"/>
    <w:rsid w:val="00B92919"/>
    <w:rsid w:val="00B92BCA"/>
    <w:rsid w:val="00B9387E"/>
    <w:rsid w:val="00B94332"/>
    <w:rsid w:val="00B95BC5"/>
    <w:rsid w:val="00B968D2"/>
    <w:rsid w:val="00B970E2"/>
    <w:rsid w:val="00B974FE"/>
    <w:rsid w:val="00B97DC2"/>
    <w:rsid w:val="00B97DCA"/>
    <w:rsid w:val="00BA04A6"/>
    <w:rsid w:val="00BA0ACA"/>
    <w:rsid w:val="00BA414F"/>
    <w:rsid w:val="00BA4BC5"/>
    <w:rsid w:val="00BA5919"/>
    <w:rsid w:val="00BA6A57"/>
    <w:rsid w:val="00BA6F70"/>
    <w:rsid w:val="00BA7297"/>
    <w:rsid w:val="00BA73FB"/>
    <w:rsid w:val="00BA77E2"/>
    <w:rsid w:val="00BB330E"/>
    <w:rsid w:val="00BB51CD"/>
    <w:rsid w:val="00BB56DC"/>
    <w:rsid w:val="00BB5BA7"/>
    <w:rsid w:val="00BB5BE0"/>
    <w:rsid w:val="00BB60ED"/>
    <w:rsid w:val="00BB6F8D"/>
    <w:rsid w:val="00BC0A1E"/>
    <w:rsid w:val="00BC133A"/>
    <w:rsid w:val="00BC145A"/>
    <w:rsid w:val="00BC1CA0"/>
    <w:rsid w:val="00BC255D"/>
    <w:rsid w:val="00BC299C"/>
    <w:rsid w:val="00BC363C"/>
    <w:rsid w:val="00BC377F"/>
    <w:rsid w:val="00BC44C9"/>
    <w:rsid w:val="00BC5E31"/>
    <w:rsid w:val="00BC6437"/>
    <w:rsid w:val="00BC78D8"/>
    <w:rsid w:val="00BD0365"/>
    <w:rsid w:val="00BD0396"/>
    <w:rsid w:val="00BD0EDF"/>
    <w:rsid w:val="00BD3CC9"/>
    <w:rsid w:val="00BD3D92"/>
    <w:rsid w:val="00BD5213"/>
    <w:rsid w:val="00BD5D8D"/>
    <w:rsid w:val="00BD60DF"/>
    <w:rsid w:val="00BD632D"/>
    <w:rsid w:val="00BD6679"/>
    <w:rsid w:val="00BD7FDE"/>
    <w:rsid w:val="00BE138B"/>
    <w:rsid w:val="00BE24FD"/>
    <w:rsid w:val="00BE6778"/>
    <w:rsid w:val="00BE6EF9"/>
    <w:rsid w:val="00BF05A9"/>
    <w:rsid w:val="00BF23B1"/>
    <w:rsid w:val="00BF369E"/>
    <w:rsid w:val="00BF4808"/>
    <w:rsid w:val="00BF5D0D"/>
    <w:rsid w:val="00BF5EF2"/>
    <w:rsid w:val="00BF6C67"/>
    <w:rsid w:val="00BF7AE3"/>
    <w:rsid w:val="00BF7E8E"/>
    <w:rsid w:val="00C0026F"/>
    <w:rsid w:val="00C0234F"/>
    <w:rsid w:val="00C04399"/>
    <w:rsid w:val="00C04E13"/>
    <w:rsid w:val="00C0621C"/>
    <w:rsid w:val="00C078BE"/>
    <w:rsid w:val="00C07C5F"/>
    <w:rsid w:val="00C10373"/>
    <w:rsid w:val="00C103FD"/>
    <w:rsid w:val="00C11A2F"/>
    <w:rsid w:val="00C12015"/>
    <w:rsid w:val="00C129CC"/>
    <w:rsid w:val="00C12A63"/>
    <w:rsid w:val="00C14D58"/>
    <w:rsid w:val="00C15940"/>
    <w:rsid w:val="00C16222"/>
    <w:rsid w:val="00C16605"/>
    <w:rsid w:val="00C1690B"/>
    <w:rsid w:val="00C17788"/>
    <w:rsid w:val="00C20E80"/>
    <w:rsid w:val="00C21519"/>
    <w:rsid w:val="00C23127"/>
    <w:rsid w:val="00C2353F"/>
    <w:rsid w:val="00C23CC2"/>
    <w:rsid w:val="00C24607"/>
    <w:rsid w:val="00C24C91"/>
    <w:rsid w:val="00C24D3D"/>
    <w:rsid w:val="00C25FDC"/>
    <w:rsid w:val="00C273F6"/>
    <w:rsid w:val="00C27FED"/>
    <w:rsid w:val="00C3021A"/>
    <w:rsid w:val="00C303EC"/>
    <w:rsid w:val="00C31C31"/>
    <w:rsid w:val="00C3235C"/>
    <w:rsid w:val="00C33709"/>
    <w:rsid w:val="00C344C9"/>
    <w:rsid w:val="00C353C8"/>
    <w:rsid w:val="00C36806"/>
    <w:rsid w:val="00C36911"/>
    <w:rsid w:val="00C36F10"/>
    <w:rsid w:val="00C37F7F"/>
    <w:rsid w:val="00C402B2"/>
    <w:rsid w:val="00C40BFA"/>
    <w:rsid w:val="00C43A12"/>
    <w:rsid w:val="00C44064"/>
    <w:rsid w:val="00C443AA"/>
    <w:rsid w:val="00C458AD"/>
    <w:rsid w:val="00C45CCB"/>
    <w:rsid w:val="00C45E0A"/>
    <w:rsid w:val="00C46627"/>
    <w:rsid w:val="00C46686"/>
    <w:rsid w:val="00C475AC"/>
    <w:rsid w:val="00C47B0B"/>
    <w:rsid w:val="00C500D0"/>
    <w:rsid w:val="00C60DDA"/>
    <w:rsid w:val="00C613C0"/>
    <w:rsid w:val="00C617FC"/>
    <w:rsid w:val="00C61862"/>
    <w:rsid w:val="00C62B5A"/>
    <w:rsid w:val="00C63706"/>
    <w:rsid w:val="00C65CAC"/>
    <w:rsid w:val="00C66458"/>
    <w:rsid w:val="00C67BF1"/>
    <w:rsid w:val="00C7199F"/>
    <w:rsid w:val="00C7251A"/>
    <w:rsid w:val="00C7291F"/>
    <w:rsid w:val="00C74205"/>
    <w:rsid w:val="00C74253"/>
    <w:rsid w:val="00C74CE2"/>
    <w:rsid w:val="00C75365"/>
    <w:rsid w:val="00C753F4"/>
    <w:rsid w:val="00C758FF"/>
    <w:rsid w:val="00C7651F"/>
    <w:rsid w:val="00C76797"/>
    <w:rsid w:val="00C777C4"/>
    <w:rsid w:val="00C80122"/>
    <w:rsid w:val="00C803B0"/>
    <w:rsid w:val="00C80C05"/>
    <w:rsid w:val="00C816ED"/>
    <w:rsid w:val="00C82549"/>
    <w:rsid w:val="00C82BF4"/>
    <w:rsid w:val="00C832FB"/>
    <w:rsid w:val="00C837FA"/>
    <w:rsid w:val="00C83863"/>
    <w:rsid w:val="00C848EF"/>
    <w:rsid w:val="00C8508B"/>
    <w:rsid w:val="00C85846"/>
    <w:rsid w:val="00C875AE"/>
    <w:rsid w:val="00C907C1"/>
    <w:rsid w:val="00C91007"/>
    <w:rsid w:val="00C91615"/>
    <w:rsid w:val="00C91C74"/>
    <w:rsid w:val="00C93467"/>
    <w:rsid w:val="00C936A4"/>
    <w:rsid w:val="00C9421C"/>
    <w:rsid w:val="00C94CE0"/>
    <w:rsid w:val="00C95F35"/>
    <w:rsid w:val="00CA00D2"/>
    <w:rsid w:val="00CA089E"/>
    <w:rsid w:val="00CA23F5"/>
    <w:rsid w:val="00CA2FA6"/>
    <w:rsid w:val="00CA4379"/>
    <w:rsid w:val="00CA455D"/>
    <w:rsid w:val="00CA6425"/>
    <w:rsid w:val="00CA74A4"/>
    <w:rsid w:val="00CB004B"/>
    <w:rsid w:val="00CB080D"/>
    <w:rsid w:val="00CB1AAA"/>
    <w:rsid w:val="00CB1E61"/>
    <w:rsid w:val="00CB2891"/>
    <w:rsid w:val="00CB41B2"/>
    <w:rsid w:val="00CC01B8"/>
    <w:rsid w:val="00CC2A92"/>
    <w:rsid w:val="00CC2FCA"/>
    <w:rsid w:val="00CC3A00"/>
    <w:rsid w:val="00CC5049"/>
    <w:rsid w:val="00CC5390"/>
    <w:rsid w:val="00CC5DBF"/>
    <w:rsid w:val="00CC60B5"/>
    <w:rsid w:val="00CC6189"/>
    <w:rsid w:val="00CD07C3"/>
    <w:rsid w:val="00CD314D"/>
    <w:rsid w:val="00CD56D9"/>
    <w:rsid w:val="00CD5BD9"/>
    <w:rsid w:val="00CD5DBD"/>
    <w:rsid w:val="00CD631E"/>
    <w:rsid w:val="00CD6358"/>
    <w:rsid w:val="00CD6E1E"/>
    <w:rsid w:val="00CD6FF3"/>
    <w:rsid w:val="00CD75D0"/>
    <w:rsid w:val="00CD79EC"/>
    <w:rsid w:val="00CE0C56"/>
    <w:rsid w:val="00CE156A"/>
    <w:rsid w:val="00CE2F39"/>
    <w:rsid w:val="00CE3889"/>
    <w:rsid w:val="00CE3F9D"/>
    <w:rsid w:val="00CE52DE"/>
    <w:rsid w:val="00CE6C2E"/>
    <w:rsid w:val="00CE7764"/>
    <w:rsid w:val="00CE7AB5"/>
    <w:rsid w:val="00CF1234"/>
    <w:rsid w:val="00CF21B3"/>
    <w:rsid w:val="00CF21DC"/>
    <w:rsid w:val="00CF2A38"/>
    <w:rsid w:val="00CF3DEE"/>
    <w:rsid w:val="00CF4A30"/>
    <w:rsid w:val="00CF4ED4"/>
    <w:rsid w:val="00CF54E6"/>
    <w:rsid w:val="00CF6816"/>
    <w:rsid w:val="00CF7916"/>
    <w:rsid w:val="00CF7B66"/>
    <w:rsid w:val="00D013B6"/>
    <w:rsid w:val="00D07C79"/>
    <w:rsid w:val="00D1245D"/>
    <w:rsid w:val="00D1292B"/>
    <w:rsid w:val="00D13007"/>
    <w:rsid w:val="00D1365D"/>
    <w:rsid w:val="00D14329"/>
    <w:rsid w:val="00D14399"/>
    <w:rsid w:val="00D143B0"/>
    <w:rsid w:val="00D14AC3"/>
    <w:rsid w:val="00D16254"/>
    <w:rsid w:val="00D165EF"/>
    <w:rsid w:val="00D16AC8"/>
    <w:rsid w:val="00D1719C"/>
    <w:rsid w:val="00D17422"/>
    <w:rsid w:val="00D21AE5"/>
    <w:rsid w:val="00D222C3"/>
    <w:rsid w:val="00D222EE"/>
    <w:rsid w:val="00D24893"/>
    <w:rsid w:val="00D25F73"/>
    <w:rsid w:val="00D31013"/>
    <w:rsid w:val="00D31D0C"/>
    <w:rsid w:val="00D320A0"/>
    <w:rsid w:val="00D32C42"/>
    <w:rsid w:val="00D32FF0"/>
    <w:rsid w:val="00D33D4E"/>
    <w:rsid w:val="00D33E06"/>
    <w:rsid w:val="00D36250"/>
    <w:rsid w:val="00D364F9"/>
    <w:rsid w:val="00D36847"/>
    <w:rsid w:val="00D40364"/>
    <w:rsid w:val="00D40CEF"/>
    <w:rsid w:val="00D42C6D"/>
    <w:rsid w:val="00D43822"/>
    <w:rsid w:val="00D43C7B"/>
    <w:rsid w:val="00D46321"/>
    <w:rsid w:val="00D47F20"/>
    <w:rsid w:val="00D525B4"/>
    <w:rsid w:val="00D535A3"/>
    <w:rsid w:val="00D53C0D"/>
    <w:rsid w:val="00D56AE3"/>
    <w:rsid w:val="00D60F58"/>
    <w:rsid w:val="00D61240"/>
    <w:rsid w:val="00D61F14"/>
    <w:rsid w:val="00D626DF"/>
    <w:rsid w:val="00D65036"/>
    <w:rsid w:val="00D658EC"/>
    <w:rsid w:val="00D66FA5"/>
    <w:rsid w:val="00D67BA2"/>
    <w:rsid w:val="00D7140A"/>
    <w:rsid w:val="00D71A10"/>
    <w:rsid w:val="00D72FB0"/>
    <w:rsid w:val="00D73906"/>
    <w:rsid w:val="00D73CCD"/>
    <w:rsid w:val="00D73DAC"/>
    <w:rsid w:val="00D75055"/>
    <w:rsid w:val="00D76500"/>
    <w:rsid w:val="00D77F7A"/>
    <w:rsid w:val="00D80307"/>
    <w:rsid w:val="00D8086D"/>
    <w:rsid w:val="00D811BC"/>
    <w:rsid w:val="00D812B0"/>
    <w:rsid w:val="00D81571"/>
    <w:rsid w:val="00D825CD"/>
    <w:rsid w:val="00D83ECD"/>
    <w:rsid w:val="00D8446A"/>
    <w:rsid w:val="00D8572F"/>
    <w:rsid w:val="00D85F41"/>
    <w:rsid w:val="00D91232"/>
    <w:rsid w:val="00D918E9"/>
    <w:rsid w:val="00D92D50"/>
    <w:rsid w:val="00D92E44"/>
    <w:rsid w:val="00D934B2"/>
    <w:rsid w:val="00D93A5A"/>
    <w:rsid w:val="00DA3CF2"/>
    <w:rsid w:val="00DA4C13"/>
    <w:rsid w:val="00DA4C75"/>
    <w:rsid w:val="00DA5EA4"/>
    <w:rsid w:val="00DA5EC3"/>
    <w:rsid w:val="00DA6A27"/>
    <w:rsid w:val="00DA6F7A"/>
    <w:rsid w:val="00DA797B"/>
    <w:rsid w:val="00DB0008"/>
    <w:rsid w:val="00DB011D"/>
    <w:rsid w:val="00DB0CCF"/>
    <w:rsid w:val="00DB12A3"/>
    <w:rsid w:val="00DB1336"/>
    <w:rsid w:val="00DB199F"/>
    <w:rsid w:val="00DB20CD"/>
    <w:rsid w:val="00DB449C"/>
    <w:rsid w:val="00DB5C01"/>
    <w:rsid w:val="00DB6258"/>
    <w:rsid w:val="00DB6666"/>
    <w:rsid w:val="00DC06D4"/>
    <w:rsid w:val="00DC078C"/>
    <w:rsid w:val="00DC2E3C"/>
    <w:rsid w:val="00DC2EAB"/>
    <w:rsid w:val="00DC4043"/>
    <w:rsid w:val="00DC408E"/>
    <w:rsid w:val="00DC588E"/>
    <w:rsid w:val="00DC5ECE"/>
    <w:rsid w:val="00DC6586"/>
    <w:rsid w:val="00DC7AC9"/>
    <w:rsid w:val="00DD04C9"/>
    <w:rsid w:val="00DD0C7B"/>
    <w:rsid w:val="00DD2167"/>
    <w:rsid w:val="00DD24BF"/>
    <w:rsid w:val="00DD2873"/>
    <w:rsid w:val="00DD3041"/>
    <w:rsid w:val="00DD4BDE"/>
    <w:rsid w:val="00DD52F6"/>
    <w:rsid w:val="00DD715A"/>
    <w:rsid w:val="00DD740C"/>
    <w:rsid w:val="00DD773D"/>
    <w:rsid w:val="00DD7C54"/>
    <w:rsid w:val="00DD7D51"/>
    <w:rsid w:val="00DE0C3D"/>
    <w:rsid w:val="00DE20D5"/>
    <w:rsid w:val="00DE2217"/>
    <w:rsid w:val="00DE3037"/>
    <w:rsid w:val="00DE3EE4"/>
    <w:rsid w:val="00DE45AE"/>
    <w:rsid w:val="00DE79B0"/>
    <w:rsid w:val="00DF058F"/>
    <w:rsid w:val="00DF0D54"/>
    <w:rsid w:val="00DF0F93"/>
    <w:rsid w:val="00DF2A3E"/>
    <w:rsid w:val="00DF31B3"/>
    <w:rsid w:val="00DF3FA0"/>
    <w:rsid w:val="00DF437D"/>
    <w:rsid w:val="00DF4F5D"/>
    <w:rsid w:val="00DF6694"/>
    <w:rsid w:val="00DF6D31"/>
    <w:rsid w:val="00E00309"/>
    <w:rsid w:val="00E00C66"/>
    <w:rsid w:val="00E00F27"/>
    <w:rsid w:val="00E018F3"/>
    <w:rsid w:val="00E030C7"/>
    <w:rsid w:val="00E0416E"/>
    <w:rsid w:val="00E0514B"/>
    <w:rsid w:val="00E11181"/>
    <w:rsid w:val="00E11C4C"/>
    <w:rsid w:val="00E12267"/>
    <w:rsid w:val="00E137DE"/>
    <w:rsid w:val="00E141B8"/>
    <w:rsid w:val="00E14509"/>
    <w:rsid w:val="00E14520"/>
    <w:rsid w:val="00E149C3"/>
    <w:rsid w:val="00E1611F"/>
    <w:rsid w:val="00E164A9"/>
    <w:rsid w:val="00E165AB"/>
    <w:rsid w:val="00E1719A"/>
    <w:rsid w:val="00E20460"/>
    <w:rsid w:val="00E213BD"/>
    <w:rsid w:val="00E23055"/>
    <w:rsid w:val="00E23285"/>
    <w:rsid w:val="00E23320"/>
    <w:rsid w:val="00E2458F"/>
    <w:rsid w:val="00E266AB"/>
    <w:rsid w:val="00E26D34"/>
    <w:rsid w:val="00E26E15"/>
    <w:rsid w:val="00E2715D"/>
    <w:rsid w:val="00E272A0"/>
    <w:rsid w:val="00E3098F"/>
    <w:rsid w:val="00E310B7"/>
    <w:rsid w:val="00E317DB"/>
    <w:rsid w:val="00E3298E"/>
    <w:rsid w:val="00E341C7"/>
    <w:rsid w:val="00E3486B"/>
    <w:rsid w:val="00E3500B"/>
    <w:rsid w:val="00E35074"/>
    <w:rsid w:val="00E35B69"/>
    <w:rsid w:val="00E372AF"/>
    <w:rsid w:val="00E3763C"/>
    <w:rsid w:val="00E41E27"/>
    <w:rsid w:val="00E4218E"/>
    <w:rsid w:val="00E42308"/>
    <w:rsid w:val="00E43716"/>
    <w:rsid w:val="00E44928"/>
    <w:rsid w:val="00E46534"/>
    <w:rsid w:val="00E47046"/>
    <w:rsid w:val="00E47519"/>
    <w:rsid w:val="00E477D2"/>
    <w:rsid w:val="00E478D4"/>
    <w:rsid w:val="00E50C39"/>
    <w:rsid w:val="00E51503"/>
    <w:rsid w:val="00E515AD"/>
    <w:rsid w:val="00E518C2"/>
    <w:rsid w:val="00E51E7F"/>
    <w:rsid w:val="00E53CFC"/>
    <w:rsid w:val="00E54737"/>
    <w:rsid w:val="00E554C6"/>
    <w:rsid w:val="00E556FB"/>
    <w:rsid w:val="00E5604E"/>
    <w:rsid w:val="00E5622D"/>
    <w:rsid w:val="00E56C1D"/>
    <w:rsid w:val="00E57B17"/>
    <w:rsid w:val="00E605B8"/>
    <w:rsid w:val="00E6061B"/>
    <w:rsid w:val="00E610A3"/>
    <w:rsid w:val="00E61985"/>
    <w:rsid w:val="00E622EE"/>
    <w:rsid w:val="00E62756"/>
    <w:rsid w:val="00E62B12"/>
    <w:rsid w:val="00E63848"/>
    <w:rsid w:val="00E64A51"/>
    <w:rsid w:val="00E64C65"/>
    <w:rsid w:val="00E64F67"/>
    <w:rsid w:val="00E65427"/>
    <w:rsid w:val="00E66AAC"/>
    <w:rsid w:val="00E6781A"/>
    <w:rsid w:val="00E7125D"/>
    <w:rsid w:val="00E72600"/>
    <w:rsid w:val="00E7299B"/>
    <w:rsid w:val="00E74300"/>
    <w:rsid w:val="00E74FFD"/>
    <w:rsid w:val="00E7511E"/>
    <w:rsid w:val="00E76FD3"/>
    <w:rsid w:val="00E77A13"/>
    <w:rsid w:val="00E77A5E"/>
    <w:rsid w:val="00E80030"/>
    <w:rsid w:val="00E80A33"/>
    <w:rsid w:val="00E82C97"/>
    <w:rsid w:val="00E83161"/>
    <w:rsid w:val="00E86985"/>
    <w:rsid w:val="00E86C20"/>
    <w:rsid w:val="00E87D92"/>
    <w:rsid w:val="00E91B0A"/>
    <w:rsid w:val="00E92714"/>
    <w:rsid w:val="00E93727"/>
    <w:rsid w:val="00E956C0"/>
    <w:rsid w:val="00E9574A"/>
    <w:rsid w:val="00E95F40"/>
    <w:rsid w:val="00E97096"/>
    <w:rsid w:val="00EA0C4F"/>
    <w:rsid w:val="00EA3028"/>
    <w:rsid w:val="00EA3CDB"/>
    <w:rsid w:val="00EA4A2D"/>
    <w:rsid w:val="00EA4EAC"/>
    <w:rsid w:val="00EA5CE8"/>
    <w:rsid w:val="00EA7E74"/>
    <w:rsid w:val="00EB15D4"/>
    <w:rsid w:val="00EB19EC"/>
    <w:rsid w:val="00EB20C9"/>
    <w:rsid w:val="00EB2347"/>
    <w:rsid w:val="00EB3A56"/>
    <w:rsid w:val="00EB3F22"/>
    <w:rsid w:val="00EB3FBB"/>
    <w:rsid w:val="00EB4C67"/>
    <w:rsid w:val="00EB4F4C"/>
    <w:rsid w:val="00EB51A1"/>
    <w:rsid w:val="00EB540A"/>
    <w:rsid w:val="00EB5B4E"/>
    <w:rsid w:val="00EB7B7E"/>
    <w:rsid w:val="00EC07CF"/>
    <w:rsid w:val="00EC0F2F"/>
    <w:rsid w:val="00EC4F63"/>
    <w:rsid w:val="00EC7528"/>
    <w:rsid w:val="00ED16B0"/>
    <w:rsid w:val="00ED16F3"/>
    <w:rsid w:val="00ED248A"/>
    <w:rsid w:val="00ED27DD"/>
    <w:rsid w:val="00ED2FEF"/>
    <w:rsid w:val="00ED3557"/>
    <w:rsid w:val="00ED3EDD"/>
    <w:rsid w:val="00ED4404"/>
    <w:rsid w:val="00ED521A"/>
    <w:rsid w:val="00ED52ED"/>
    <w:rsid w:val="00ED61BA"/>
    <w:rsid w:val="00ED6B8B"/>
    <w:rsid w:val="00ED7B26"/>
    <w:rsid w:val="00EE1768"/>
    <w:rsid w:val="00EE19E5"/>
    <w:rsid w:val="00EE1BBB"/>
    <w:rsid w:val="00EE2489"/>
    <w:rsid w:val="00EE5354"/>
    <w:rsid w:val="00EE588C"/>
    <w:rsid w:val="00EE6CD8"/>
    <w:rsid w:val="00EE701E"/>
    <w:rsid w:val="00EE7CBE"/>
    <w:rsid w:val="00EF022C"/>
    <w:rsid w:val="00EF1A94"/>
    <w:rsid w:val="00EF1E4A"/>
    <w:rsid w:val="00EF20AD"/>
    <w:rsid w:val="00EF3B66"/>
    <w:rsid w:val="00EF415E"/>
    <w:rsid w:val="00EF4285"/>
    <w:rsid w:val="00EF4CE4"/>
    <w:rsid w:val="00EF55F5"/>
    <w:rsid w:val="00EF6893"/>
    <w:rsid w:val="00EF7C42"/>
    <w:rsid w:val="00F00107"/>
    <w:rsid w:val="00F001EA"/>
    <w:rsid w:val="00F014E5"/>
    <w:rsid w:val="00F0169F"/>
    <w:rsid w:val="00F01CB8"/>
    <w:rsid w:val="00F053F2"/>
    <w:rsid w:val="00F056A5"/>
    <w:rsid w:val="00F064C8"/>
    <w:rsid w:val="00F06A08"/>
    <w:rsid w:val="00F06AC5"/>
    <w:rsid w:val="00F06EC3"/>
    <w:rsid w:val="00F07328"/>
    <w:rsid w:val="00F1019D"/>
    <w:rsid w:val="00F11124"/>
    <w:rsid w:val="00F111CA"/>
    <w:rsid w:val="00F113EE"/>
    <w:rsid w:val="00F1164D"/>
    <w:rsid w:val="00F11F33"/>
    <w:rsid w:val="00F124B8"/>
    <w:rsid w:val="00F12887"/>
    <w:rsid w:val="00F12CF2"/>
    <w:rsid w:val="00F13EC3"/>
    <w:rsid w:val="00F15DFE"/>
    <w:rsid w:val="00F20EEB"/>
    <w:rsid w:val="00F21AAA"/>
    <w:rsid w:val="00F22A67"/>
    <w:rsid w:val="00F231F4"/>
    <w:rsid w:val="00F240A1"/>
    <w:rsid w:val="00F24292"/>
    <w:rsid w:val="00F24DA0"/>
    <w:rsid w:val="00F257CC"/>
    <w:rsid w:val="00F26629"/>
    <w:rsid w:val="00F27A17"/>
    <w:rsid w:val="00F31055"/>
    <w:rsid w:val="00F311AF"/>
    <w:rsid w:val="00F325EF"/>
    <w:rsid w:val="00F32FE3"/>
    <w:rsid w:val="00F342FA"/>
    <w:rsid w:val="00F3432A"/>
    <w:rsid w:val="00F34B87"/>
    <w:rsid w:val="00F352F9"/>
    <w:rsid w:val="00F35691"/>
    <w:rsid w:val="00F363C8"/>
    <w:rsid w:val="00F364B0"/>
    <w:rsid w:val="00F3727E"/>
    <w:rsid w:val="00F37D24"/>
    <w:rsid w:val="00F401CE"/>
    <w:rsid w:val="00F409C8"/>
    <w:rsid w:val="00F456F1"/>
    <w:rsid w:val="00F46458"/>
    <w:rsid w:val="00F46CE6"/>
    <w:rsid w:val="00F47CD2"/>
    <w:rsid w:val="00F52246"/>
    <w:rsid w:val="00F54351"/>
    <w:rsid w:val="00F551B5"/>
    <w:rsid w:val="00F57392"/>
    <w:rsid w:val="00F60248"/>
    <w:rsid w:val="00F60E62"/>
    <w:rsid w:val="00F620CB"/>
    <w:rsid w:val="00F627C7"/>
    <w:rsid w:val="00F63685"/>
    <w:rsid w:val="00F63D90"/>
    <w:rsid w:val="00F64107"/>
    <w:rsid w:val="00F64968"/>
    <w:rsid w:val="00F66144"/>
    <w:rsid w:val="00F718F4"/>
    <w:rsid w:val="00F729CA"/>
    <w:rsid w:val="00F730A2"/>
    <w:rsid w:val="00F7553A"/>
    <w:rsid w:val="00F763B3"/>
    <w:rsid w:val="00F765FD"/>
    <w:rsid w:val="00F76C63"/>
    <w:rsid w:val="00F811A9"/>
    <w:rsid w:val="00F81454"/>
    <w:rsid w:val="00F815DC"/>
    <w:rsid w:val="00F81973"/>
    <w:rsid w:val="00F81AEC"/>
    <w:rsid w:val="00F82B2C"/>
    <w:rsid w:val="00F834B7"/>
    <w:rsid w:val="00F84174"/>
    <w:rsid w:val="00F845A7"/>
    <w:rsid w:val="00F84972"/>
    <w:rsid w:val="00F8554E"/>
    <w:rsid w:val="00F864C4"/>
    <w:rsid w:val="00F86584"/>
    <w:rsid w:val="00F86887"/>
    <w:rsid w:val="00F86B8D"/>
    <w:rsid w:val="00F90C96"/>
    <w:rsid w:val="00F90FAF"/>
    <w:rsid w:val="00F95F9D"/>
    <w:rsid w:val="00F96DBA"/>
    <w:rsid w:val="00FA19A8"/>
    <w:rsid w:val="00FA1D67"/>
    <w:rsid w:val="00FA261D"/>
    <w:rsid w:val="00FA36CD"/>
    <w:rsid w:val="00FA3749"/>
    <w:rsid w:val="00FA3906"/>
    <w:rsid w:val="00FA4130"/>
    <w:rsid w:val="00FA4E54"/>
    <w:rsid w:val="00FA4F71"/>
    <w:rsid w:val="00FA6E10"/>
    <w:rsid w:val="00FB09D7"/>
    <w:rsid w:val="00FB0D84"/>
    <w:rsid w:val="00FB1395"/>
    <w:rsid w:val="00FB14E7"/>
    <w:rsid w:val="00FB1C73"/>
    <w:rsid w:val="00FB2226"/>
    <w:rsid w:val="00FB30D4"/>
    <w:rsid w:val="00FB44B3"/>
    <w:rsid w:val="00FB4736"/>
    <w:rsid w:val="00FB5379"/>
    <w:rsid w:val="00FB56CD"/>
    <w:rsid w:val="00FB5A7C"/>
    <w:rsid w:val="00FB63BF"/>
    <w:rsid w:val="00FB681A"/>
    <w:rsid w:val="00FB73C9"/>
    <w:rsid w:val="00FB73E9"/>
    <w:rsid w:val="00FB7B81"/>
    <w:rsid w:val="00FC05C3"/>
    <w:rsid w:val="00FC0F68"/>
    <w:rsid w:val="00FC1991"/>
    <w:rsid w:val="00FC26DE"/>
    <w:rsid w:val="00FC3B57"/>
    <w:rsid w:val="00FC3C13"/>
    <w:rsid w:val="00FC442F"/>
    <w:rsid w:val="00FC4499"/>
    <w:rsid w:val="00FC4552"/>
    <w:rsid w:val="00FC48AB"/>
    <w:rsid w:val="00FC4C60"/>
    <w:rsid w:val="00FC4E9A"/>
    <w:rsid w:val="00FC601B"/>
    <w:rsid w:val="00FC6A22"/>
    <w:rsid w:val="00FD007F"/>
    <w:rsid w:val="00FD1674"/>
    <w:rsid w:val="00FD266E"/>
    <w:rsid w:val="00FD45AB"/>
    <w:rsid w:val="00FD47C0"/>
    <w:rsid w:val="00FD561B"/>
    <w:rsid w:val="00FD730C"/>
    <w:rsid w:val="00FD7B35"/>
    <w:rsid w:val="00FE159D"/>
    <w:rsid w:val="00FE1C51"/>
    <w:rsid w:val="00FE2B4E"/>
    <w:rsid w:val="00FE424F"/>
    <w:rsid w:val="00FE4645"/>
    <w:rsid w:val="00FE69A8"/>
    <w:rsid w:val="00FE7510"/>
    <w:rsid w:val="00FF2187"/>
    <w:rsid w:val="00FF2223"/>
    <w:rsid w:val="00FF33FB"/>
    <w:rsid w:val="00FF429F"/>
    <w:rsid w:val="00FF5264"/>
    <w:rsid w:val="00FF58C8"/>
    <w:rsid w:val="00FF5B2F"/>
    <w:rsid w:val="00FF5B8A"/>
    <w:rsid w:val="00FF6E76"/>
    <w:rsid w:val="00FF758C"/>
  </w:rsids>
  <m:mathPr>
    <m:mathFont m:val="Cambria Math"/>
    <m:brkBin m:val="before"/>
    <m:brkBinSub m:val="--"/>
    <m:smallFrac m:val="0"/>
    <m:dispDef/>
    <m:lMargin m:val="0"/>
    <m:rMargin m:val="0"/>
    <m:defJc m:val="centerGroup"/>
    <m:wrapIndent m:val="1440"/>
    <m:intLim m:val="subSup"/>
    <m:naryLim m:val="undOvr"/>
  </m:mathPr>
  <w:themeFontLang w:val="en-US" w:bidi="s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F7C577"/>
  <w15:docId w15:val="{1DCA9FB8-0B85-45DC-BC63-A630CF256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US" w:eastAsia="en-US" w:bidi="sa-IN"/>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6165C"/>
    <w:pPr>
      <w:spacing w:line="276" w:lineRule="auto"/>
    </w:pPr>
    <w:rPr>
      <w:rFonts w:cstheme="minorBidi"/>
      <w:sz w:val="24"/>
      <w:szCs w:val="22"/>
      <w:lang w:bidi="ar-SA"/>
    </w:rPr>
  </w:style>
  <w:style w:type="paragraph" w:styleId="Heading1">
    <w:name w:val="heading 1"/>
    <w:basedOn w:val="Normal"/>
    <w:next w:val="Normal"/>
    <w:link w:val="Heading1Char"/>
    <w:uiPriority w:val="9"/>
    <w:qFormat/>
    <w:rsid w:val="0056165C"/>
    <w:pPr>
      <w:keepNext/>
      <w:keepLines/>
      <w:spacing w:before="480"/>
      <w:jc w:val="center"/>
      <w:outlineLvl w:val="0"/>
    </w:pPr>
    <w:rPr>
      <w:rFonts w:ascii="Arial" w:eastAsiaTheme="majorEastAsia" w:hAnsi="Arial" w:cstheme="majorBidi"/>
      <w:b/>
      <w:bCs/>
      <w:color w:val="FF0000"/>
      <w:sz w:val="20"/>
      <w:szCs w:val="28"/>
      <w:lang w:bidi="sa-IN"/>
    </w:rPr>
  </w:style>
  <w:style w:type="paragraph" w:styleId="Heading2">
    <w:name w:val="heading 2"/>
    <w:basedOn w:val="Normal"/>
    <w:next w:val="Normal"/>
    <w:link w:val="Heading2Char"/>
    <w:qFormat/>
    <w:rsid w:val="0056165C"/>
    <w:pPr>
      <w:keepNext/>
      <w:spacing w:before="60" w:after="60" w:line="240" w:lineRule="auto"/>
      <w:jc w:val="center"/>
      <w:outlineLvl w:val="1"/>
    </w:pPr>
    <w:rPr>
      <w:rFonts w:eastAsia="Times New Roman" w:cs="Arial"/>
      <w:b/>
      <w:bCs/>
      <w:i/>
      <w:iCs/>
      <w:color w:val="7030A0"/>
      <w:szCs w:val="28"/>
    </w:rPr>
  </w:style>
  <w:style w:type="paragraph" w:styleId="Heading3">
    <w:name w:val="heading 3"/>
    <w:basedOn w:val="Normal"/>
    <w:next w:val="Normal"/>
    <w:link w:val="Heading3Char"/>
    <w:uiPriority w:val="9"/>
    <w:unhideWhenUsed/>
    <w:qFormat/>
    <w:rsid w:val="00E26E15"/>
    <w:pPr>
      <w:keepNext/>
      <w:keepLines/>
      <w:spacing w:before="200"/>
      <w:outlineLvl w:val="2"/>
    </w:pPr>
    <w:rPr>
      <w:rFonts w:eastAsiaTheme="majorEastAsia" w:cstheme="majorBidi"/>
      <w:b/>
      <w:bCs/>
      <w:sz w:val="20"/>
      <w:szCs w:val="20"/>
      <w:lang w:bidi="sa-IN"/>
    </w:rPr>
  </w:style>
  <w:style w:type="paragraph" w:styleId="Heading4">
    <w:name w:val="heading 4"/>
    <w:basedOn w:val="Normal"/>
    <w:next w:val="Normal"/>
    <w:link w:val="Heading4Char"/>
    <w:unhideWhenUsed/>
    <w:qFormat/>
    <w:rsid w:val="009602D1"/>
    <w:pPr>
      <w:keepNext/>
      <w:spacing w:before="240" w:after="60" w:line="240" w:lineRule="auto"/>
      <w:ind w:left="720"/>
      <w:jc w:val="both"/>
      <w:outlineLvl w:val="3"/>
    </w:pPr>
    <w:rPr>
      <w:rFonts w:ascii="Calibri" w:eastAsiaTheme="minorEastAsia" w:hAnsi="Calibri"/>
      <w:b/>
      <w:bCs/>
      <w:smallCaps/>
      <w:sz w:val="18"/>
      <w:szCs w:val="28"/>
      <w:lang w:bidi="s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Text1">
    <w:name w:val="Footnote Text1"/>
    <w:rsid w:val="00B86BD2"/>
    <w:pPr>
      <w:widowControl w:val="0"/>
    </w:pPr>
    <w:rPr>
      <w:rFonts w:cs="Mangal"/>
      <w:color w:val="000000"/>
      <w:szCs w:val="24"/>
    </w:rPr>
  </w:style>
  <w:style w:type="character" w:customStyle="1" w:styleId="Heading2Char">
    <w:name w:val="Heading 2 Char"/>
    <w:link w:val="Heading2"/>
    <w:rsid w:val="0056165C"/>
    <w:rPr>
      <w:rFonts w:eastAsia="Times New Roman" w:cs="Arial"/>
      <w:b/>
      <w:bCs/>
      <w:i/>
      <w:iCs/>
      <w:color w:val="7030A0"/>
      <w:sz w:val="24"/>
      <w:szCs w:val="28"/>
      <w:lang w:bidi="ar-SA"/>
    </w:rPr>
  </w:style>
  <w:style w:type="character" w:customStyle="1" w:styleId="Heading4Char">
    <w:name w:val="Heading 4 Char"/>
    <w:basedOn w:val="DefaultParagraphFont"/>
    <w:link w:val="Heading4"/>
    <w:rsid w:val="009602D1"/>
    <w:rPr>
      <w:rFonts w:ascii="Calibri" w:eastAsiaTheme="minorEastAsia" w:hAnsi="Calibri" w:cstheme="minorBidi"/>
      <w:b/>
      <w:bCs/>
      <w:smallCaps/>
      <w:sz w:val="18"/>
      <w:szCs w:val="28"/>
    </w:rPr>
  </w:style>
  <w:style w:type="character" w:customStyle="1" w:styleId="Heading1Char">
    <w:name w:val="Heading 1 Char"/>
    <w:basedOn w:val="DefaultParagraphFont"/>
    <w:link w:val="Heading1"/>
    <w:uiPriority w:val="9"/>
    <w:rsid w:val="0056165C"/>
    <w:rPr>
      <w:rFonts w:ascii="Arial" w:eastAsiaTheme="majorEastAsia" w:hAnsi="Arial" w:cstheme="majorBidi"/>
      <w:b/>
      <w:bCs/>
      <w:color w:val="FF0000"/>
      <w:szCs w:val="28"/>
    </w:rPr>
  </w:style>
  <w:style w:type="character" w:customStyle="1" w:styleId="Heading3Char">
    <w:name w:val="Heading 3 Char"/>
    <w:basedOn w:val="DefaultParagraphFont"/>
    <w:link w:val="Heading3"/>
    <w:uiPriority w:val="9"/>
    <w:rsid w:val="00E26E15"/>
    <w:rPr>
      <w:rFonts w:eastAsiaTheme="majorEastAsia" w:cstheme="majorBidi"/>
      <w:b/>
      <w:bCs/>
    </w:rPr>
  </w:style>
  <w:style w:type="character" w:styleId="FootnoteReference">
    <w:name w:val="footnote reference"/>
    <w:rsid w:val="00BA6A57"/>
    <w:rPr>
      <w:vertAlign w:val="superscript"/>
    </w:rPr>
  </w:style>
  <w:style w:type="paragraph" w:styleId="FootnoteText">
    <w:name w:val="footnote text"/>
    <w:aliases w:val="Footnote Text Char1 Char,Footnote Text Char Char Char,Footnote Text Char1 Char Char Char,f t Char1 Char Char Char,ft Char1 Char Char Char,Footnote Text Char Char Char Char Char,f t Char Char Char Char Char,f t Char Char"/>
    <w:basedOn w:val="Normal"/>
    <w:link w:val="FootnoteTextChar"/>
    <w:rsid w:val="00BA6A57"/>
    <w:pPr>
      <w:overflowPunct w:val="0"/>
      <w:autoSpaceDE w:val="0"/>
      <w:autoSpaceDN w:val="0"/>
      <w:adjustRightInd w:val="0"/>
      <w:spacing w:line="240" w:lineRule="auto"/>
      <w:jc w:val="both"/>
      <w:textAlignment w:val="baseline"/>
    </w:pPr>
    <w:rPr>
      <w:rFonts w:eastAsia="Times New Roman" w:cs="Times New Roman"/>
      <w:sz w:val="20"/>
      <w:szCs w:val="20"/>
      <w:lang w:bidi="he-IL"/>
    </w:rPr>
  </w:style>
  <w:style w:type="character" w:customStyle="1" w:styleId="FootnoteTextChar">
    <w:name w:val="Footnote Text Char"/>
    <w:aliases w:val="Footnote Text Char1 Char Char,Footnote Text Char Char Char Char,Footnote Text Char1 Char Char Char Char,f t Char1 Char Char Char Char,ft Char1 Char Char Char Char,Footnote Text Char Char Char Char Char Char,f t Char Char Char"/>
    <w:basedOn w:val="DefaultParagraphFont"/>
    <w:link w:val="FootnoteText"/>
    <w:rsid w:val="00BA6A57"/>
    <w:rPr>
      <w:rFonts w:eastAsia="Times New Roman"/>
      <w:lang w:bidi="he-IL"/>
    </w:rPr>
  </w:style>
  <w:style w:type="paragraph" w:styleId="Header">
    <w:name w:val="header"/>
    <w:basedOn w:val="Normal"/>
    <w:link w:val="HeaderChar"/>
    <w:uiPriority w:val="99"/>
    <w:rsid w:val="0056165C"/>
    <w:pPr>
      <w:tabs>
        <w:tab w:val="center" w:pos="4680"/>
        <w:tab w:val="right" w:pos="9360"/>
      </w:tabs>
      <w:spacing w:line="240" w:lineRule="auto"/>
    </w:pPr>
  </w:style>
  <w:style w:type="character" w:customStyle="1" w:styleId="HeaderChar">
    <w:name w:val="Header Char"/>
    <w:basedOn w:val="DefaultParagraphFont"/>
    <w:link w:val="Header"/>
    <w:uiPriority w:val="99"/>
    <w:rsid w:val="0056165C"/>
    <w:rPr>
      <w:rFonts w:cstheme="minorBidi"/>
      <w:sz w:val="24"/>
      <w:szCs w:val="22"/>
      <w:lang w:bidi="ar-SA"/>
    </w:rPr>
  </w:style>
  <w:style w:type="paragraph" w:styleId="Footer">
    <w:name w:val="footer"/>
    <w:basedOn w:val="Normal"/>
    <w:link w:val="FooterChar"/>
    <w:rsid w:val="0056165C"/>
    <w:pPr>
      <w:tabs>
        <w:tab w:val="center" w:pos="4680"/>
        <w:tab w:val="right" w:pos="9360"/>
      </w:tabs>
      <w:spacing w:line="240" w:lineRule="auto"/>
    </w:pPr>
  </w:style>
  <w:style w:type="character" w:customStyle="1" w:styleId="FooterChar">
    <w:name w:val="Footer Char"/>
    <w:basedOn w:val="DefaultParagraphFont"/>
    <w:link w:val="Footer"/>
    <w:rsid w:val="0056165C"/>
    <w:rPr>
      <w:rFonts w:cstheme="minorBidi"/>
      <w:sz w:val="24"/>
      <w:szCs w:val="2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624</Words>
  <Characters>3560</Characters>
  <Application>Microsoft Office Word</Application>
  <DocSecurity>0</DocSecurity>
  <Lines>29</Lines>
  <Paragraphs>8</Paragraphs>
  <ScaleCrop>false</ScaleCrop>
  <HeadingPairs>
    <vt:vector size="4" baseType="variant">
      <vt:variant>
        <vt:lpstr>Title</vt:lpstr>
      </vt:variant>
      <vt:variant>
        <vt:i4>1</vt:i4>
      </vt:variant>
      <vt:variant>
        <vt:lpstr>Headings</vt:lpstr>
      </vt:variant>
      <vt:variant>
        <vt:i4>23</vt:i4>
      </vt:variant>
    </vt:vector>
  </HeadingPairs>
  <TitlesOfParts>
    <vt:vector size="24" baseType="lpstr">
      <vt:lpstr/>
      <vt:lpstr>Indent-right method of interpretation </vt:lpstr>
      <vt:lpstr>    Background for this mode of representation:  Bangs Tapscott on concept of "domin</vt:lpstr>
      <vt:lpstr>        The rules for using the indent-right method of rulification are simple:</vt:lpstr>
      <vt:lpstr>Rulify Monge</vt:lpstr>
      <vt:lpstr>    enthymeme</vt:lpstr>
      <vt:lpstr>    symbolic</vt:lpstr>
      <vt:lpstr>    </vt:lpstr>
      <vt:lpstr>    indent right</vt:lpstr>
      <vt:lpstr>Rulify § 90(1) [also rule in Wright]</vt:lpstr>
      <vt:lpstr>    enthymeme</vt:lpstr>
      <vt:lpstr>    symbolic</vt:lpstr>
      <vt:lpstr>    </vt:lpstr>
      <vt:lpstr>    indent right</vt:lpstr>
      <vt:lpstr>Rulify § 2-207(1)</vt:lpstr>
      <vt:lpstr>    enthymeme</vt:lpstr>
      <vt:lpstr>    symbolic</vt:lpstr>
      <vt:lpstr>    </vt:lpstr>
      <vt:lpstr>    indent right</vt:lpstr>
      <vt:lpstr>Rulify § 2-207(2)</vt:lpstr>
      <vt:lpstr>    enthymeme</vt:lpstr>
      <vt:lpstr>    symbolic</vt:lpstr>
      <vt:lpstr>    </vt:lpstr>
      <vt:lpstr>    indent right</vt:lpstr>
    </vt:vector>
  </TitlesOfParts>
  <Company/>
  <LinksUpToDate>false</LinksUpToDate>
  <CharactersWithSpaces>4176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sbrewer</dc:creator>
  <cp:lastModifiedBy>Brewer, Scott</cp:lastModifiedBy>
  <cp:revision>3</cp:revision>
  <dcterms:created xsi:type="dcterms:W3CDTF">2018-07-09T15:17:00Z</dcterms:created>
  <dcterms:modified xsi:type="dcterms:W3CDTF">2018-07-09T15:18:00Z</dcterms:modified>
</cp:coreProperties>
</file>