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4A45" w:rsidRDefault="00A34A45">
      <w:pPr>
        <w:widowControl w:val="0"/>
        <w:autoSpaceDE w:val="0"/>
        <w:autoSpaceDN w:val="0"/>
        <w:adjustRightInd w:val="0"/>
        <w:jc w:val="center"/>
        <w:rPr>
          <w:rFonts w:cs="Times New Roman"/>
          <w:color w:val="000000"/>
        </w:rPr>
      </w:pPr>
      <w:bookmarkStart w:id="0" w:name="Document0zzSDUNumber1"/>
      <w:bookmarkStart w:id="1" w:name="_GoBack"/>
      <w:bookmarkEnd w:id="0"/>
      <w:bookmarkEnd w:id="1"/>
      <w:r>
        <w:rPr>
          <w:rFonts w:cs="Times New Roman"/>
          <w:color w:val="000000"/>
          <w:sz w:val="20"/>
          <w:szCs w:val="20"/>
        </w:rPr>
        <w:t xml:space="preserve">Supreme Court of </w:t>
      </w:r>
      <w:smartTag w:uri="urn:schemas-microsoft-com:office:smarttags" w:element="place">
        <w:smartTag w:uri="urn:schemas-microsoft-com:office:smarttags" w:element="State">
          <w:r>
            <w:rPr>
              <w:rFonts w:cs="Times New Roman"/>
              <w:color w:val="000000"/>
              <w:sz w:val="20"/>
              <w:szCs w:val="20"/>
            </w:rPr>
            <w:t>New Hampshire</w:t>
          </w:r>
        </w:smartTag>
      </w:smartTag>
      <w:r>
        <w:rPr>
          <w:rFonts w:cs="Times New Roman"/>
          <w:color w:val="000000"/>
          <w:sz w:val="20"/>
          <w:szCs w:val="20"/>
        </w:rPr>
        <w:t>.</w:t>
      </w:r>
    </w:p>
    <w:p w:rsidR="00A34A45" w:rsidRDefault="00A34A45">
      <w:pPr>
        <w:widowControl w:val="0"/>
        <w:autoSpaceDE w:val="0"/>
        <w:autoSpaceDN w:val="0"/>
        <w:adjustRightInd w:val="0"/>
        <w:jc w:val="center"/>
        <w:rPr>
          <w:rFonts w:cs="Times New Roman"/>
          <w:color w:val="000000"/>
        </w:rPr>
      </w:pPr>
      <w:r>
        <w:rPr>
          <w:rFonts w:cs="Times New Roman"/>
          <w:color w:val="000000"/>
          <w:sz w:val="20"/>
          <w:szCs w:val="20"/>
        </w:rPr>
        <w:t>Olga MONGE</w:t>
      </w:r>
    </w:p>
    <w:p w:rsidR="00A34A45" w:rsidRDefault="00A34A45">
      <w:pPr>
        <w:widowControl w:val="0"/>
        <w:autoSpaceDE w:val="0"/>
        <w:autoSpaceDN w:val="0"/>
        <w:adjustRightInd w:val="0"/>
        <w:jc w:val="center"/>
        <w:rPr>
          <w:rFonts w:cs="Times New Roman"/>
          <w:color w:val="000000"/>
        </w:rPr>
      </w:pPr>
      <w:r>
        <w:rPr>
          <w:rFonts w:cs="Times New Roman"/>
          <w:color w:val="000000"/>
          <w:sz w:val="20"/>
          <w:szCs w:val="20"/>
        </w:rPr>
        <w:t>v.</w:t>
      </w:r>
    </w:p>
    <w:p w:rsidR="00A34A45" w:rsidRDefault="00A34A45">
      <w:pPr>
        <w:widowControl w:val="0"/>
        <w:autoSpaceDE w:val="0"/>
        <w:autoSpaceDN w:val="0"/>
        <w:adjustRightInd w:val="0"/>
        <w:jc w:val="center"/>
        <w:rPr>
          <w:rFonts w:cs="Times New Roman"/>
          <w:color w:val="000000"/>
        </w:rPr>
      </w:pPr>
      <w:r>
        <w:rPr>
          <w:rFonts w:cs="Times New Roman"/>
          <w:color w:val="000000"/>
          <w:sz w:val="20"/>
          <w:szCs w:val="20"/>
        </w:rPr>
        <w:t>BEEBE RUBBER COMPANY.</w:t>
      </w:r>
    </w:p>
    <w:p w:rsidR="00A34A45" w:rsidRDefault="00A34A45">
      <w:pPr>
        <w:widowControl w:val="0"/>
        <w:autoSpaceDE w:val="0"/>
        <w:autoSpaceDN w:val="0"/>
        <w:adjustRightInd w:val="0"/>
        <w:rPr>
          <w:rFonts w:cs="Times New Roman"/>
          <w:color w:val="000000"/>
        </w:rPr>
      </w:pPr>
    </w:p>
    <w:p w:rsidR="00A34A45" w:rsidRDefault="00A34A45">
      <w:pPr>
        <w:widowControl w:val="0"/>
        <w:autoSpaceDE w:val="0"/>
        <w:autoSpaceDN w:val="0"/>
        <w:adjustRightInd w:val="0"/>
        <w:jc w:val="center"/>
        <w:rPr>
          <w:rFonts w:cs="Times New Roman"/>
          <w:color w:val="000000"/>
        </w:rPr>
      </w:pPr>
      <w:r>
        <w:rPr>
          <w:rFonts w:cs="Times New Roman"/>
          <w:color w:val="000000"/>
          <w:sz w:val="20"/>
          <w:szCs w:val="20"/>
        </w:rPr>
        <w:t>No. 6637.</w:t>
      </w:r>
    </w:p>
    <w:p w:rsidR="00A34A45" w:rsidRDefault="00A34A45">
      <w:pPr>
        <w:widowControl w:val="0"/>
        <w:autoSpaceDE w:val="0"/>
        <w:autoSpaceDN w:val="0"/>
        <w:adjustRightInd w:val="0"/>
        <w:jc w:val="center"/>
        <w:rPr>
          <w:rFonts w:cs="Times New Roman"/>
          <w:color w:val="000000"/>
        </w:rPr>
      </w:pPr>
      <w:r>
        <w:rPr>
          <w:rFonts w:cs="Times New Roman"/>
          <w:color w:val="000000"/>
          <w:sz w:val="20"/>
          <w:szCs w:val="20"/>
        </w:rPr>
        <w:t>Feb. 28, 1974.</w:t>
      </w:r>
    </w:p>
    <w:p w:rsidR="00A34A45" w:rsidRDefault="00A34A45">
      <w:pPr>
        <w:widowControl w:val="0"/>
        <w:autoSpaceDE w:val="0"/>
        <w:autoSpaceDN w:val="0"/>
        <w:adjustRightInd w:val="0"/>
        <w:rPr>
          <w:rFonts w:cs="Times New Roman"/>
          <w:color w:val="000000"/>
        </w:rPr>
      </w:pPr>
    </w:p>
    <w:p w:rsidR="00A34A45" w:rsidRDefault="00A34A45">
      <w:pPr>
        <w:widowControl w:val="0"/>
        <w:autoSpaceDE w:val="0"/>
        <w:autoSpaceDN w:val="0"/>
        <w:adjustRightInd w:val="0"/>
        <w:rPr>
          <w:rFonts w:cs="Times New Roman"/>
          <w:color w:val="000000"/>
        </w:rPr>
      </w:pPr>
    </w:p>
    <w:p w:rsidR="00A34A45" w:rsidRDefault="00A34A45">
      <w:pPr>
        <w:widowControl w:val="0"/>
        <w:autoSpaceDE w:val="0"/>
        <w:autoSpaceDN w:val="0"/>
        <w:adjustRightInd w:val="0"/>
        <w:jc w:val="both"/>
        <w:rPr>
          <w:rFonts w:cs="Times New Roman"/>
          <w:color w:val="000000"/>
        </w:rPr>
      </w:pPr>
      <w:r>
        <w:rPr>
          <w:rFonts w:cs="Times New Roman"/>
          <w:color w:val="000000"/>
          <w:sz w:val="20"/>
          <w:szCs w:val="20"/>
        </w:rPr>
        <w:t>LAMPRON, Justice.</w:t>
      </w:r>
    </w:p>
    <w:p w:rsidR="00A34A45" w:rsidRDefault="00A34A45">
      <w:pPr>
        <w:widowControl w:val="0"/>
        <w:autoSpaceDE w:val="0"/>
        <w:autoSpaceDN w:val="0"/>
        <w:adjustRightInd w:val="0"/>
        <w:ind w:firstLine="360"/>
        <w:jc w:val="both"/>
        <w:rPr>
          <w:rFonts w:cs="Times New Roman"/>
          <w:color w:val="000000"/>
        </w:rPr>
      </w:pPr>
      <w:r>
        <w:rPr>
          <w:rFonts w:cs="Times New Roman"/>
          <w:color w:val="000000"/>
          <w:sz w:val="20"/>
          <w:szCs w:val="20"/>
        </w:rPr>
        <w:t>Action of assumpsit to recover damages for an alleged breach of an oral contract of employment. Plaintiff was hired in September 1968 at wages of $1.84 per hour to work on a conve</w:t>
      </w:r>
      <w:r>
        <w:rPr>
          <w:rFonts w:cs="Times New Roman"/>
          <w:color w:val="000000"/>
          <w:sz w:val="20"/>
          <w:szCs w:val="20"/>
        </w:rPr>
        <w:t>r</w:t>
      </w:r>
      <w:r>
        <w:rPr>
          <w:rFonts w:cs="Times New Roman"/>
          <w:color w:val="000000"/>
          <w:sz w:val="20"/>
          <w:szCs w:val="20"/>
        </w:rPr>
        <w:t>sion machine in defendant's factory and was allegedly told that if she worked well she would get better jobs with better pay. Plai</w:t>
      </w:r>
      <w:r>
        <w:rPr>
          <w:rFonts w:cs="Times New Roman"/>
          <w:color w:val="000000"/>
          <w:sz w:val="20"/>
          <w:szCs w:val="20"/>
        </w:rPr>
        <w:t>n</w:t>
      </w:r>
      <w:r>
        <w:rPr>
          <w:rFonts w:cs="Times New Roman"/>
          <w:color w:val="000000"/>
          <w:sz w:val="20"/>
          <w:szCs w:val="20"/>
        </w:rPr>
        <w:t>tiff claims that she was harassed by her foreman because she refused to go out with him and that his hostility, condoned if not shared by defen</w:t>
      </w:r>
      <w:r>
        <w:rPr>
          <w:rFonts w:cs="Times New Roman"/>
          <w:color w:val="000000"/>
          <w:sz w:val="20"/>
          <w:szCs w:val="20"/>
        </w:rPr>
        <w:t>d</w:t>
      </w:r>
      <w:r>
        <w:rPr>
          <w:rFonts w:cs="Times New Roman"/>
          <w:color w:val="000000"/>
          <w:sz w:val="20"/>
          <w:szCs w:val="20"/>
        </w:rPr>
        <w:t>ant's personnel manager, ultimately resulted in her being fired. Trial by jury resulted in a verdict for the plaintiff in the amount of $2,500. Defendant's obje</w:t>
      </w:r>
      <w:r>
        <w:rPr>
          <w:rFonts w:cs="Times New Roman"/>
          <w:color w:val="000000"/>
          <w:sz w:val="20"/>
          <w:szCs w:val="20"/>
        </w:rPr>
        <w:t>c</w:t>
      </w:r>
      <w:r>
        <w:rPr>
          <w:rFonts w:cs="Times New Roman"/>
          <w:color w:val="000000"/>
          <w:sz w:val="20"/>
          <w:szCs w:val="20"/>
        </w:rPr>
        <w:t>tions to denial of its motion to set aside the verdict, for judgment n.o.v. and to var</w:t>
      </w:r>
      <w:r>
        <w:rPr>
          <w:rFonts w:cs="Times New Roman"/>
          <w:color w:val="000000"/>
          <w:sz w:val="20"/>
          <w:szCs w:val="20"/>
        </w:rPr>
        <w:t>i</w:t>
      </w:r>
      <w:r>
        <w:rPr>
          <w:rFonts w:cs="Times New Roman"/>
          <w:color w:val="000000"/>
          <w:sz w:val="20"/>
          <w:szCs w:val="20"/>
        </w:rPr>
        <w:t>ous evidentiary and substantive rulings were reserved and tran</w:t>
      </w:r>
      <w:r>
        <w:rPr>
          <w:rFonts w:cs="Times New Roman"/>
          <w:color w:val="000000"/>
          <w:sz w:val="20"/>
          <w:szCs w:val="20"/>
        </w:rPr>
        <w:t>s</w:t>
      </w:r>
      <w:r>
        <w:rPr>
          <w:rFonts w:cs="Times New Roman"/>
          <w:color w:val="000000"/>
          <w:sz w:val="20"/>
          <w:szCs w:val="20"/>
        </w:rPr>
        <w:t>ferred by Loughlin, J.</w:t>
      </w:r>
    </w:p>
    <w:p w:rsidR="00A34A45" w:rsidRDefault="00A34A45">
      <w:pPr>
        <w:widowControl w:val="0"/>
        <w:autoSpaceDE w:val="0"/>
        <w:autoSpaceDN w:val="0"/>
        <w:adjustRightInd w:val="0"/>
        <w:rPr>
          <w:rFonts w:cs="Times New Roman"/>
          <w:color w:val="000000"/>
        </w:rPr>
      </w:pPr>
    </w:p>
    <w:p w:rsidR="00A34A45" w:rsidRDefault="00A34A45">
      <w:pPr>
        <w:widowControl w:val="0"/>
        <w:autoSpaceDE w:val="0"/>
        <w:autoSpaceDN w:val="0"/>
        <w:adjustRightInd w:val="0"/>
        <w:ind w:firstLine="360"/>
        <w:jc w:val="both"/>
        <w:rPr>
          <w:rFonts w:cs="Times New Roman"/>
          <w:color w:val="000000"/>
        </w:rPr>
      </w:pPr>
      <w:r>
        <w:rPr>
          <w:rFonts w:cs="Times New Roman"/>
          <w:color w:val="000000"/>
          <w:sz w:val="20"/>
          <w:szCs w:val="20"/>
        </w:rPr>
        <w:t xml:space="preserve">Plaintiff, before coming to this country in 1964, was a school teacher in </w:t>
      </w:r>
      <w:smartTag w:uri="urn:schemas-microsoft-com:office:smarttags" w:element="State">
        <w:r>
          <w:rPr>
            <w:rFonts w:cs="Times New Roman"/>
            <w:color w:val="000000"/>
            <w:sz w:val="20"/>
            <w:szCs w:val="20"/>
          </w:rPr>
          <w:t>Costa Rica</w:t>
        </w:r>
      </w:smartTag>
      <w:r>
        <w:rPr>
          <w:rFonts w:cs="Times New Roman"/>
          <w:color w:val="000000"/>
          <w:sz w:val="20"/>
          <w:szCs w:val="20"/>
        </w:rPr>
        <w:t xml:space="preserve">. She came to </w:t>
      </w:r>
      <w:smartTag w:uri="urn:schemas-microsoft-com:office:smarttags" w:element="State">
        <w:r>
          <w:rPr>
            <w:rFonts w:cs="Times New Roman"/>
            <w:color w:val="000000"/>
            <w:sz w:val="20"/>
            <w:szCs w:val="20"/>
          </w:rPr>
          <w:t>New Hampshire</w:t>
        </w:r>
      </w:smartTag>
      <w:r>
        <w:rPr>
          <w:rFonts w:cs="Times New Roman"/>
          <w:color w:val="000000"/>
          <w:sz w:val="20"/>
          <w:szCs w:val="20"/>
        </w:rPr>
        <w:t xml:space="preserve"> in 1965, and was attending college from 7 to 10 o'clock five nights a week to qualify to teach here. She used the money she </w:t>
      </w:r>
      <w:r>
        <w:rPr>
          <w:rFonts w:cs="Times New Roman"/>
          <w:b/>
          <w:bCs/>
          <w:color w:val="000000"/>
          <w:sz w:val="20"/>
          <w:szCs w:val="20"/>
        </w:rPr>
        <w:t>*131</w:t>
      </w:r>
      <w:r>
        <w:rPr>
          <w:rFonts w:cs="Times New Roman"/>
          <w:color w:val="000000"/>
          <w:sz w:val="20"/>
          <w:szCs w:val="20"/>
        </w:rPr>
        <w:t xml:space="preserve"> earned from her employment with the defendant on the night shift beginning at 11 o'clock for her college expenses. She was employed by the defendant in a union shop and joined the union as required after her employment, thereby becoming subject to the seniority and other rules of the union contract. After working without incident on the conversion machine for about three months, she applied to fill an opening on a press m</w:t>
      </w:r>
      <w:r>
        <w:rPr>
          <w:rFonts w:cs="Times New Roman"/>
          <w:color w:val="000000"/>
          <w:sz w:val="20"/>
          <w:szCs w:val="20"/>
        </w:rPr>
        <w:t>a</w:t>
      </w:r>
      <w:r>
        <w:rPr>
          <w:rFonts w:cs="Times New Roman"/>
          <w:color w:val="000000"/>
          <w:sz w:val="20"/>
          <w:szCs w:val="20"/>
        </w:rPr>
        <w:t>chine at higher wages. She testified that her foreman told her that if she wanted the job she would have to be ‘nice’. She got the job at $2.79 per hour and claims that her foreman then asked her to go out with him, which she refused to do because she was ma</w:t>
      </w:r>
      <w:r>
        <w:rPr>
          <w:rFonts w:cs="Times New Roman"/>
          <w:color w:val="000000"/>
          <w:sz w:val="20"/>
          <w:szCs w:val="20"/>
        </w:rPr>
        <w:t>r</w:t>
      </w:r>
      <w:r>
        <w:rPr>
          <w:rFonts w:cs="Times New Roman"/>
          <w:color w:val="000000"/>
          <w:sz w:val="20"/>
          <w:szCs w:val="20"/>
        </w:rPr>
        <w:t>ried and had three children. After working on the press machine for about three weeks, the machine was shut down and she was put on a degreaser m</w:t>
      </w:r>
      <w:r>
        <w:rPr>
          <w:rFonts w:cs="Times New Roman"/>
          <w:color w:val="000000"/>
          <w:sz w:val="20"/>
          <w:szCs w:val="20"/>
        </w:rPr>
        <w:t>a</w:t>
      </w:r>
      <w:r>
        <w:rPr>
          <w:rFonts w:cs="Times New Roman"/>
          <w:color w:val="000000"/>
          <w:sz w:val="20"/>
          <w:szCs w:val="20"/>
        </w:rPr>
        <w:t xml:space="preserve">chine at $1.99 per hour. Her overtime was taken away, although no one else's was. She testified that when she told her foreman she needed overtime </w:t>
      </w:r>
      <w:r>
        <w:rPr>
          <w:rFonts w:cs="Times New Roman"/>
          <w:color w:val="000000"/>
          <w:sz w:val="20"/>
          <w:szCs w:val="20"/>
        </w:rPr>
        <w:lastRenderedPageBreak/>
        <w:t>money he told her she could sweep floors. She agreed to do this and claims the foreman also made her clean the washrooms and ridiculed her.</w:t>
      </w:r>
    </w:p>
    <w:p w:rsidR="00A34A45" w:rsidRDefault="00A34A45">
      <w:pPr>
        <w:widowControl w:val="0"/>
        <w:autoSpaceDE w:val="0"/>
        <w:autoSpaceDN w:val="0"/>
        <w:adjustRightInd w:val="0"/>
        <w:rPr>
          <w:rFonts w:cs="Times New Roman"/>
          <w:color w:val="000000"/>
        </w:rPr>
      </w:pPr>
    </w:p>
    <w:p w:rsidR="00A34A45" w:rsidRDefault="00A34A45">
      <w:pPr>
        <w:widowControl w:val="0"/>
        <w:autoSpaceDE w:val="0"/>
        <w:autoSpaceDN w:val="0"/>
        <w:adjustRightInd w:val="0"/>
        <w:ind w:firstLine="360"/>
        <w:jc w:val="both"/>
        <w:rPr>
          <w:rFonts w:cs="Times New Roman"/>
          <w:color w:val="000000"/>
        </w:rPr>
      </w:pPr>
      <w:r>
        <w:rPr>
          <w:rFonts w:cs="Times New Roman"/>
          <w:color w:val="000000"/>
          <w:sz w:val="20"/>
          <w:szCs w:val="20"/>
        </w:rPr>
        <w:t>On July 23, 1969, she ran out of boxes for her machine. When she reported this to the foreman, he told her to make her own, which she claims she could not do while keeping up her production. When she spoke to the union steward about it, the foreman o</w:t>
      </w:r>
      <w:r>
        <w:rPr>
          <w:rFonts w:cs="Times New Roman"/>
          <w:color w:val="000000"/>
          <w:sz w:val="20"/>
          <w:szCs w:val="20"/>
        </w:rPr>
        <w:t>r</w:t>
      </w:r>
      <w:r>
        <w:rPr>
          <w:rFonts w:cs="Times New Roman"/>
          <w:color w:val="000000"/>
          <w:sz w:val="20"/>
          <w:szCs w:val="20"/>
        </w:rPr>
        <w:t>dered her back to her machine and fired her at 2:00 o'clock in the morning when she refused to comply with his o</w:t>
      </w:r>
      <w:r>
        <w:rPr>
          <w:rFonts w:cs="Times New Roman"/>
          <w:color w:val="000000"/>
          <w:sz w:val="20"/>
          <w:szCs w:val="20"/>
        </w:rPr>
        <w:t>r</w:t>
      </w:r>
      <w:r>
        <w:rPr>
          <w:rFonts w:cs="Times New Roman"/>
          <w:color w:val="000000"/>
          <w:sz w:val="20"/>
          <w:szCs w:val="20"/>
        </w:rPr>
        <w:t>der. After complaining to the union, she was reinstated with a warning.</w:t>
      </w:r>
    </w:p>
    <w:p w:rsidR="00A34A45" w:rsidRDefault="00A34A45">
      <w:pPr>
        <w:widowControl w:val="0"/>
        <w:autoSpaceDE w:val="0"/>
        <w:autoSpaceDN w:val="0"/>
        <w:adjustRightInd w:val="0"/>
        <w:rPr>
          <w:rFonts w:cs="Times New Roman"/>
          <w:color w:val="000000"/>
        </w:rPr>
      </w:pPr>
    </w:p>
    <w:p w:rsidR="00A34A45" w:rsidRDefault="00A34A45">
      <w:pPr>
        <w:widowControl w:val="0"/>
        <w:autoSpaceDE w:val="0"/>
        <w:autoSpaceDN w:val="0"/>
        <w:adjustRightInd w:val="0"/>
        <w:ind w:firstLine="360"/>
        <w:jc w:val="both"/>
        <w:rPr>
          <w:rFonts w:cs="Times New Roman"/>
          <w:color w:val="000000"/>
        </w:rPr>
      </w:pPr>
      <w:r>
        <w:rPr>
          <w:rFonts w:cs="Times New Roman"/>
          <w:color w:val="000000"/>
          <w:sz w:val="20"/>
          <w:szCs w:val="20"/>
        </w:rPr>
        <w:t>On Saturday, July 26, she called the personnel manager at his home to tell him that on advice of her lawyer she was calling to say she would not be in on Sunday because of illness. She also called in on Su</w:t>
      </w:r>
      <w:r>
        <w:rPr>
          <w:rFonts w:cs="Times New Roman"/>
          <w:color w:val="000000"/>
          <w:sz w:val="20"/>
          <w:szCs w:val="20"/>
        </w:rPr>
        <w:t>n</w:t>
      </w:r>
      <w:r>
        <w:rPr>
          <w:rFonts w:cs="Times New Roman"/>
          <w:color w:val="000000"/>
          <w:sz w:val="20"/>
          <w:szCs w:val="20"/>
        </w:rPr>
        <w:t>day, July 27, to say she would not be able to work because of illness and would enter the hospital the next day. The company's records show her absent with excuse on July 28 through 31.</w:t>
      </w:r>
    </w:p>
    <w:p w:rsidR="00A34A45" w:rsidRDefault="00A34A45">
      <w:pPr>
        <w:widowControl w:val="0"/>
        <w:autoSpaceDE w:val="0"/>
        <w:autoSpaceDN w:val="0"/>
        <w:adjustRightInd w:val="0"/>
        <w:rPr>
          <w:rFonts w:cs="Times New Roman"/>
          <w:color w:val="000000"/>
        </w:rPr>
      </w:pPr>
    </w:p>
    <w:p w:rsidR="00A34A45" w:rsidRDefault="00A34A45">
      <w:pPr>
        <w:widowControl w:val="0"/>
        <w:autoSpaceDE w:val="0"/>
        <w:autoSpaceDN w:val="0"/>
        <w:adjustRightInd w:val="0"/>
        <w:ind w:firstLine="360"/>
        <w:jc w:val="both"/>
        <w:rPr>
          <w:rFonts w:cs="Times New Roman"/>
          <w:color w:val="000000"/>
        </w:rPr>
      </w:pPr>
      <w:r>
        <w:rPr>
          <w:rFonts w:cs="Times New Roman"/>
          <w:b/>
          <w:bCs/>
          <w:color w:val="000000"/>
          <w:sz w:val="20"/>
          <w:szCs w:val="20"/>
        </w:rPr>
        <w:t>**551</w:t>
      </w:r>
      <w:r>
        <w:rPr>
          <w:rFonts w:cs="Times New Roman"/>
          <w:color w:val="000000"/>
          <w:sz w:val="20"/>
          <w:szCs w:val="20"/>
        </w:rPr>
        <w:t xml:space="preserve"> She testified that when she reported for work at 11:00 p.m. on the night of August 4, the pe</w:t>
      </w:r>
      <w:r>
        <w:rPr>
          <w:rFonts w:cs="Times New Roman"/>
          <w:color w:val="000000"/>
          <w:sz w:val="20"/>
          <w:szCs w:val="20"/>
        </w:rPr>
        <w:t>r</w:t>
      </w:r>
      <w:r>
        <w:rPr>
          <w:rFonts w:cs="Times New Roman"/>
          <w:color w:val="000000"/>
          <w:sz w:val="20"/>
          <w:szCs w:val="20"/>
        </w:rPr>
        <w:t xml:space="preserve">sonnel manager was there, although she had never seen him at the plant before at that time of day, and that he asked her ‘What kind of face I got to come back?’   After being at work for two and </w:t>
      </w:r>
      <w:r>
        <w:rPr>
          <w:rFonts w:cs="Times New Roman"/>
          <w:b/>
          <w:bCs/>
          <w:color w:val="000000"/>
          <w:sz w:val="20"/>
          <w:szCs w:val="20"/>
        </w:rPr>
        <w:t>*132</w:t>
      </w:r>
      <w:r>
        <w:rPr>
          <w:rFonts w:cs="Times New Roman"/>
          <w:color w:val="000000"/>
          <w:sz w:val="20"/>
          <w:szCs w:val="20"/>
        </w:rPr>
        <w:t xml:space="preserve"> one-half hours that same night, she was found unco</w:t>
      </w:r>
      <w:r>
        <w:rPr>
          <w:rFonts w:cs="Times New Roman"/>
          <w:color w:val="000000"/>
          <w:sz w:val="20"/>
          <w:szCs w:val="20"/>
        </w:rPr>
        <w:t>n</w:t>
      </w:r>
      <w:r>
        <w:rPr>
          <w:rFonts w:cs="Times New Roman"/>
          <w:color w:val="000000"/>
          <w:sz w:val="20"/>
          <w:szCs w:val="20"/>
        </w:rPr>
        <w:t>scious in the ladies' room and was taken to the hosp</w:t>
      </w:r>
      <w:r>
        <w:rPr>
          <w:rFonts w:cs="Times New Roman"/>
          <w:color w:val="000000"/>
          <w:sz w:val="20"/>
          <w:szCs w:val="20"/>
        </w:rPr>
        <w:t>i</w:t>
      </w:r>
      <w:r>
        <w:rPr>
          <w:rFonts w:cs="Times New Roman"/>
          <w:color w:val="000000"/>
          <w:sz w:val="20"/>
          <w:szCs w:val="20"/>
        </w:rPr>
        <w:t>tal. The company records show her hosp</w:t>
      </w:r>
      <w:r>
        <w:rPr>
          <w:rFonts w:cs="Times New Roman"/>
          <w:color w:val="000000"/>
          <w:sz w:val="20"/>
          <w:szCs w:val="20"/>
        </w:rPr>
        <w:t>i</w:t>
      </w:r>
      <w:r>
        <w:rPr>
          <w:rFonts w:cs="Times New Roman"/>
          <w:color w:val="000000"/>
          <w:sz w:val="20"/>
          <w:szCs w:val="20"/>
        </w:rPr>
        <w:t>talized for the next four days including August 8. Nothing is shown in these records regarding the next two days but they show her absent on August 11, 12 and 13 without having called in. On August 13, 1969, the personnel manager sent her a letter stating that since she failed to report for work for three consec</w:t>
      </w:r>
      <w:r>
        <w:rPr>
          <w:rFonts w:cs="Times New Roman"/>
          <w:color w:val="000000"/>
          <w:sz w:val="20"/>
          <w:szCs w:val="20"/>
        </w:rPr>
        <w:t>u</w:t>
      </w:r>
      <w:r>
        <w:rPr>
          <w:rFonts w:cs="Times New Roman"/>
          <w:color w:val="000000"/>
          <w:sz w:val="20"/>
          <w:szCs w:val="20"/>
        </w:rPr>
        <w:t>tive days without notification to the company, she was ‘deemed a voluntary quit’.</w:t>
      </w:r>
    </w:p>
    <w:p w:rsidR="00A34A45" w:rsidRDefault="00A34A45">
      <w:pPr>
        <w:widowControl w:val="0"/>
        <w:autoSpaceDE w:val="0"/>
        <w:autoSpaceDN w:val="0"/>
        <w:adjustRightInd w:val="0"/>
        <w:rPr>
          <w:rFonts w:cs="Times New Roman"/>
          <w:color w:val="000000"/>
        </w:rPr>
      </w:pPr>
    </w:p>
    <w:p w:rsidR="00A34A45" w:rsidRDefault="00A34A45">
      <w:pPr>
        <w:widowControl w:val="0"/>
        <w:autoSpaceDE w:val="0"/>
        <w:autoSpaceDN w:val="0"/>
        <w:adjustRightInd w:val="0"/>
        <w:ind w:firstLine="360"/>
        <w:jc w:val="both"/>
        <w:rPr>
          <w:rFonts w:cs="Times New Roman"/>
          <w:color w:val="000000"/>
        </w:rPr>
      </w:pPr>
      <w:r>
        <w:rPr>
          <w:rFonts w:cs="Times New Roman"/>
          <w:color w:val="000000"/>
          <w:sz w:val="20"/>
          <w:szCs w:val="20"/>
        </w:rPr>
        <w:t>There was evidence both from the plaintiff and the foreman that she did in fact call in on Sunday, August 10, to report that she was still sick. There was also evidence that some time after defendant had r</w:t>
      </w:r>
      <w:r>
        <w:rPr>
          <w:rFonts w:cs="Times New Roman"/>
          <w:color w:val="000000"/>
          <w:sz w:val="20"/>
          <w:szCs w:val="20"/>
        </w:rPr>
        <w:t>e</w:t>
      </w:r>
      <w:r>
        <w:rPr>
          <w:rFonts w:cs="Times New Roman"/>
          <w:color w:val="000000"/>
          <w:sz w:val="20"/>
          <w:szCs w:val="20"/>
        </w:rPr>
        <w:t>fused her foreman's advances, the personnel manager had visited her at home about some annoying tel</w:t>
      </w:r>
      <w:r>
        <w:rPr>
          <w:rFonts w:cs="Times New Roman"/>
          <w:color w:val="000000"/>
          <w:sz w:val="20"/>
          <w:szCs w:val="20"/>
        </w:rPr>
        <w:t>e</w:t>
      </w:r>
      <w:r>
        <w:rPr>
          <w:rFonts w:cs="Times New Roman"/>
          <w:color w:val="000000"/>
          <w:sz w:val="20"/>
          <w:szCs w:val="20"/>
        </w:rPr>
        <w:t>phone calls she was receiving. In the course of their conversation, he told her he knew her foreman used his position to force his attentions on the female e</w:t>
      </w:r>
      <w:r>
        <w:rPr>
          <w:rFonts w:cs="Times New Roman"/>
          <w:color w:val="000000"/>
          <w:sz w:val="20"/>
          <w:szCs w:val="20"/>
        </w:rPr>
        <w:t>m</w:t>
      </w:r>
      <w:r>
        <w:rPr>
          <w:rFonts w:cs="Times New Roman"/>
          <w:color w:val="000000"/>
          <w:sz w:val="20"/>
          <w:szCs w:val="20"/>
        </w:rPr>
        <w:t xml:space="preserve">ployees under his authority and he asked her ‘not to </w:t>
      </w:r>
      <w:r>
        <w:rPr>
          <w:rFonts w:cs="Times New Roman"/>
          <w:color w:val="000000"/>
          <w:sz w:val="20"/>
          <w:szCs w:val="20"/>
        </w:rPr>
        <w:lastRenderedPageBreak/>
        <w:t>make trouble.’</w:t>
      </w:r>
    </w:p>
    <w:p w:rsidR="00A34A45" w:rsidRDefault="00A34A45">
      <w:pPr>
        <w:widowControl w:val="0"/>
        <w:autoSpaceDE w:val="0"/>
        <w:autoSpaceDN w:val="0"/>
        <w:adjustRightInd w:val="0"/>
        <w:rPr>
          <w:rFonts w:cs="Times New Roman"/>
          <w:color w:val="000000"/>
        </w:rPr>
      </w:pPr>
    </w:p>
    <w:p w:rsidR="00A34A45" w:rsidRDefault="00A34A45">
      <w:pPr>
        <w:widowControl w:val="0"/>
        <w:autoSpaceDE w:val="0"/>
        <w:autoSpaceDN w:val="0"/>
        <w:adjustRightInd w:val="0"/>
        <w:ind w:firstLine="360"/>
        <w:jc w:val="both"/>
        <w:rPr>
          <w:rFonts w:cs="Times New Roman"/>
          <w:color w:val="000000"/>
        </w:rPr>
      </w:pPr>
      <w:hyperlink w:anchor="Document1zzF11974100532" w:history="1">
        <w:r>
          <w:rPr>
            <w:rFonts w:cs="Times New Roman"/>
            <w:color w:val="0000FF"/>
            <w:sz w:val="20"/>
            <w:szCs w:val="20"/>
            <w:u w:val="single"/>
          </w:rPr>
          <w:t>[1]</w:t>
        </w:r>
      </w:hyperlink>
      <w:bookmarkStart w:id="2" w:name="Document1zzB11974100532"/>
      <w:bookmarkEnd w:id="2"/>
      <w:r>
        <w:rPr>
          <w:rFonts w:cs="Times New Roman"/>
          <w:color w:val="000000"/>
          <w:sz w:val="20"/>
          <w:szCs w:val="20"/>
        </w:rPr>
        <w:t xml:space="preserve"> Plaintiff sued for breach of an employment contract for an indefinite period of time. The emplo</w:t>
      </w:r>
      <w:r>
        <w:rPr>
          <w:rFonts w:cs="Times New Roman"/>
          <w:color w:val="000000"/>
          <w:sz w:val="20"/>
          <w:szCs w:val="20"/>
        </w:rPr>
        <w:t>y</w:t>
      </w:r>
      <w:r>
        <w:rPr>
          <w:rFonts w:cs="Times New Roman"/>
          <w:color w:val="000000"/>
          <w:sz w:val="20"/>
          <w:szCs w:val="20"/>
        </w:rPr>
        <w:t>er has long ruled the workplace with an iron hand by reason of the prevailing co</w:t>
      </w:r>
      <w:r>
        <w:rPr>
          <w:rFonts w:cs="Times New Roman"/>
          <w:color w:val="000000"/>
          <w:sz w:val="20"/>
          <w:szCs w:val="20"/>
        </w:rPr>
        <w:t>m</w:t>
      </w:r>
      <w:r>
        <w:rPr>
          <w:rFonts w:cs="Times New Roman"/>
          <w:color w:val="000000"/>
          <w:sz w:val="20"/>
          <w:szCs w:val="20"/>
        </w:rPr>
        <w:t>mon-law rule that such a hiring is presumed to be at will and term</w:t>
      </w:r>
      <w:r>
        <w:rPr>
          <w:rFonts w:cs="Times New Roman"/>
          <w:color w:val="000000"/>
          <w:sz w:val="20"/>
          <w:szCs w:val="20"/>
        </w:rPr>
        <w:t>i</w:t>
      </w:r>
      <w:r>
        <w:rPr>
          <w:rFonts w:cs="Times New Roman"/>
          <w:color w:val="000000"/>
          <w:sz w:val="20"/>
          <w:szCs w:val="20"/>
        </w:rPr>
        <w:t>nable at any time by either party. 53 Am.Jur.2d Master and Ser</w:t>
      </w:r>
      <w:r>
        <w:rPr>
          <w:rFonts w:cs="Times New Roman"/>
          <w:color w:val="000000"/>
          <w:sz w:val="20"/>
          <w:szCs w:val="20"/>
        </w:rPr>
        <w:t>v</w:t>
      </w:r>
      <w:r>
        <w:rPr>
          <w:rFonts w:cs="Times New Roman"/>
          <w:color w:val="000000"/>
          <w:sz w:val="20"/>
          <w:szCs w:val="20"/>
        </w:rPr>
        <w:t xml:space="preserve">ant, s 43 (1970); 9 S. Williston, Contracts s 1017 (Jaeger ed. 1967); </w:t>
      </w:r>
      <w:hyperlink r:id="rId7" w:history="1">
        <w:r>
          <w:rPr>
            <w:rFonts w:cs="Times New Roman"/>
            <w:color w:val="0000FF"/>
            <w:sz w:val="20"/>
            <w:szCs w:val="20"/>
            <w:u w:val="single"/>
          </w:rPr>
          <w:t>Restatement (Second) Agency s 442 (1958)</w:t>
        </w:r>
      </w:hyperlink>
      <w:r>
        <w:rPr>
          <w:rFonts w:cs="Times New Roman"/>
          <w:color w:val="000000"/>
          <w:sz w:val="20"/>
          <w:szCs w:val="20"/>
        </w:rPr>
        <w:t>; see Blumrosen, Seniority and Equal E</w:t>
      </w:r>
      <w:r>
        <w:rPr>
          <w:rFonts w:cs="Times New Roman"/>
          <w:color w:val="000000"/>
          <w:sz w:val="20"/>
          <w:szCs w:val="20"/>
        </w:rPr>
        <w:t>m</w:t>
      </w:r>
      <w:r>
        <w:rPr>
          <w:rFonts w:cs="Times New Roman"/>
          <w:color w:val="000000"/>
          <w:sz w:val="20"/>
          <w:szCs w:val="20"/>
        </w:rPr>
        <w:t xml:space="preserve">ployment,  23 </w:t>
      </w:r>
      <w:smartTag w:uri="urn:schemas-microsoft-com:office:smarttags" w:element="State">
        <w:r>
          <w:rPr>
            <w:rFonts w:cs="Times New Roman"/>
            <w:color w:val="000000"/>
            <w:sz w:val="20"/>
            <w:szCs w:val="20"/>
          </w:rPr>
          <w:t>Rutgers</w:t>
        </w:r>
      </w:smartTag>
      <w:r>
        <w:rPr>
          <w:rFonts w:cs="Times New Roman"/>
          <w:color w:val="000000"/>
          <w:sz w:val="20"/>
          <w:szCs w:val="20"/>
        </w:rPr>
        <w:t xml:space="preserve"> L.Rev. 270 (1969).  When asked to reexamine the long-standing common-law rule of property based on an ancient feudal system which fostered in a tenancy at will a relationship heavily weighted in favor of the lan</w:t>
      </w:r>
      <w:r>
        <w:rPr>
          <w:rFonts w:cs="Times New Roman"/>
          <w:color w:val="000000"/>
          <w:sz w:val="20"/>
          <w:szCs w:val="20"/>
        </w:rPr>
        <w:t>d</w:t>
      </w:r>
      <w:r>
        <w:rPr>
          <w:rFonts w:cs="Times New Roman"/>
          <w:color w:val="000000"/>
          <w:sz w:val="20"/>
          <w:szCs w:val="20"/>
        </w:rPr>
        <w:t xml:space="preserve">lord, this court did not hesitate to modify that rule to conform to modern circumstances.   </w:t>
      </w:r>
      <w:hyperlink r:id="rId8" w:history="1">
        <w:r>
          <w:rPr>
            <w:rFonts w:cs="Times New Roman"/>
            <w:color w:val="0000FF"/>
            <w:sz w:val="20"/>
            <w:szCs w:val="20"/>
            <w:u w:val="single"/>
          </w:rPr>
          <w:t>Kline v. Burns, 111 N.H. 87, 90, 276 A.2d 248, 250 (1971)</w:t>
        </w:r>
      </w:hyperlink>
      <w:r>
        <w:rPr>
          <w:rFonts w:cs="Times New Roman"/>
          <w:color w:val="000000"/>
          <w:sz w:val="20"/>
          <w:szCs w:val="20"/>
        </w:rPr>
        <w:t xml:space="preserve">; Sargent v. Ross, 113 N.H. -, -, </w:t>
      </w:r>
      <w:hyperlink r:id="rId9" w:history="1">
        <w:r>
          <w:rPr>
            <w:rFonts w:cs="Times New Roman"/>
            <w:color w:val="0000FF"/>
            <w:sz w:val="20"/>
            <w:szCs w:val="20"/>
            <w:u w:val="single"/>
          </w:rPr>
          <w:t>308 A.2d 528 (1973)</w:t>
        </w:r>
      </w:hyperlink>
      <w:r>
        <w:rPr>
          <w:rFonts w:cs="Times New Roman"/>
          <w:color w:val="000000"/>
          <w:sz w:val="20"/>
          <w:szCs w:val="20"/>
        </w:rPr>
        <w:t>.</w:t>
      </w:r>
    </w:p>
    <w:p w:rsidR="00A34A45" w:rsidRDefault="00A34A45">
      <w:pPr>
        <w:widowControl w:val="0"/>
        <w:autoSpaceDE w:val="0"/>
        <w:autoSpaceDN w:val="0"/>
        <w:adjustRightInd w:val="0"/>
        <w:rPr>
          <w:rFonts w:cs="Times New Roman"/>
          <w:color w:val="000000"/>
        </w:rPr>
      </w:pPr>
    </w:p>
    <w:p w:rsidR="00A34A45" w:rsidRDefault="00A34A45">
      <w:pPr>
        <w:widowControl w:val="0"/>
        <w:autoSpaceDE w:val="0"/>
        <w:autoSpaceDN w:val="0"/>
        <w:adjustRightInd w:val="0"/>
        <w:ind w:firstLine="360"/>
        <w:jc w:val="both"/>
        <w:rPr>
          <w:rFonts w:cs="Times New Roman"/>
          <w:color w:val="000000"/>
        </w:rPr>
      </w:pPr>
      <w:r>
        <w:rPr>
          <w:rFonts w:cs="Times New Roman"/>
          <w:color w:val="000000"/>
          <w:sz w:val="20"/>
          <w:szCs w:val="20"/>
        </w:rPr>
        <w:t>The law governing the relations between e</w:t>
      </w:r>
      <w:r>
        <w:rPr>
          <w:rFonts w:cs="Times New Roman"/>
          <w:color w:val="000000"/>
          <w:sz w:val="20"/>
          <w:szCs w:val="20"/>
        </w:rPr>
        <w:t>m</w:t>
      </w:r>
      <w:r>
        <w:rPr>
          <w:rFonts w:cs="Times New Roman"/>
          <w:color w:val="000000"/>
          <w:sz w:val="20"/>
          <w:szCs w:val="20"/>
        </w:rPr>
        <w:t>ployer and e</w:t>
      </w:r>
      <w:r>
        <w:rPr>
          <w:rFonts w:cs="Times New Roman"/>
          <w:color w:val="000000"/>
          <w:sz w:val="20"/>
          <w:szCs w:val="20"/>
        </w:rPr>
        <w:t>m</w:t>
      </w:r>
      <w:r>
        <w:rPr>
          <w:rFonts w:cs="Times New Roman"/>
          <w:color w:val="000000"/>
          <w:sz w:val="20"/>
          <w:szCs w:val="20"/>
        </w:rPr>
        <w:t xml:space="preserve">ployee has similarly evolved over the years to reflect changing legal, social and economic conditions. 3A A. Corbin, Contracts s 674 at 205, 206 (1960). In this area ‘(w)e are in the midst of a period in which the pot boils the hardest </w:t>
      </w:r>
      <w:r>
        <w:rPr>
          <w:rFonts w:cs="Times New Roman"/>
          <w:b/>
          <w:bCs/>
          <w:color w:val="000000"/>
          <w:sz w:val="20"/>
          <w:szCs w:val="20"/>
        </w:rPr>
        <w:t>*133</w:t>
      </w:r>
      <w:r>
        <w:rPr>
          <w:rFonts w:cs="Times New Roman"/>
          <w:color w:val="000000"/>
          <w:sz w:val="20"/>
          <w:szCs w:val="20"/>
        </w:rPr>
        <w:t xml:space="preserve"> and in the process of change the fastest.’ </w:t>
      </w:r>
      <w:smartTag w:uri="urn:schemas-microsoft-com:office:smarttags" w:element="State">
        <w:r>
          <w:rPr>
            <w:rFonts w:cs="Times New Roman"/>
            <w:color w:val="000000"/>
            <w:sz w:val="20"/>
            <w:szCs w:val="20"/>
          </w:rPr>
          <w:t>Id.</w:t>
        </w:r>
      </w:smartTag>
      <w:r>
        <w:rPr>
          <w:rFonts w:cs="Times New Roman"/>
          <w:color w:val="000000"/>
          <w:sz w:val="20"/>
          <w:szCs w:val="20"/>
        </w:rPr>
        <w:t xml:space="preserve"> Although many of these changes have resulted from the activity and influence of labor unions, the courts cannot ignore the new climate prevailing generally in the relatio</w:t>
      </w:r>
      <w:r>
        <w:rPr>
          <w:rFonts w:cs="Times New Roman"/>
          <w:color w:val="000000"/>
          <w:sz w:val="20"/>
          <w:szCs w:val="20"/>
        </w:rPr>
        <w:t>n</w:t>
      </w:r>
      <w:r>
        <w:rPr>
          <w:rFonts w:cs="Times New Roman"/>
          <w:color w:val="000000"/>
          <w:sz w:val="20"/>
          <w:szCs w:val="20"/>
        </w:rPr>
        <w:t>ship of employer and employee. See Comment, Co</w:t>
      </w:r>
      <w:r>
        <w:rPr>
          <w:rFonts w:cs="Times New Roman"/>
          <w:color w:val="000000"/>
          <w:sz w:val="20"/>
          <w:szCs w:val="20"/>
        </w:rPr>
        <w:t>n</w:t>
      </w:r>
      <w:r>
        <w:rPr>
          <w:rFonts w:cs="Times New Roman"/>
          <w:color w:val="000000"/>
          <w:sz w:val="20"/>
          <w:szCs w:val="20"/>
        </w:rPr>
        <w:t xml:space="preserve">tracts-Termination of Employment At Will-Public Policy May Modify Employer's Right to Discharge, 14 </w:t>
      </w:r>
      <w:smartTag w:uri="urn:schemas-microsoft-com:office:smarttags" w:element="State">
        <w:r>
          <w:rPr>
            <w:rFonts w:cs="Times New Roman"/>
            <w:color w:val="000000"/>
            <w:sz w:val="20"/>
            <w:szCs w:val="20"/>
          </w:rPr>
          <w:t>Rutgers</w:t>
        </w:r>
      </w:smartTag>
      <w:r>
        <w:rPr>
          <w:rFonts w:cs="Times New Roman"/>
          <w:color w:val="000000"/>
          <w:sz w:val="20"/>
          <w:szCs w:val="20"/>
        </w:rPr>
        <w:t xml:space="preserve"> L.Rev. 624 (1960); Blumrosen, Employee Discipline, 18 </w:t>
      </w:r>
      <w:smartTag w:uri="urn:schemas-microsoft-com:office:smarttags" w:element="State">
        <w:r>
          <w:rPr>
            <w:rFonts w:cs="Times New Roman"/>
            <w:color w:val="000000"/>
            <w:sz w:val="20"/>
            <w:szCs w:val="20"/>
          </w:rPr>
          <w:t>Rutgers</w:t>
        </w:r>
      </w:smartTag>
      <w:r>
        <w:rPr>
          <w:rFonts w:cs="Times New Roman"/>
          <w:color w:val="000000"/>
          <w:sz w:val="20"/>
          <w:szCs w:val="20"/>
        </w:rPr>
        <w:t xml:space="preserve"> L.Rev. 428, 431-33 (1964).</w:t>
      </w:r>
    </w:p>
    <w:p w:rsidR="00A34A45" w:rsidRDefault="00A34A45">
      <w:pPr>
        <w:widowControl w:val="0"/>
        <w:autoSpaceDE w:val="0"/>
        <w:autoSpaceDN w:val="0"/>
        <w:adjustRightInd w:val="0"/>
        <w:rPr>
          <w:rFonts w:cs="Times New Roman"/>
          <w:color w:val="000000"/>
        </w:rPr>
      </w:pPr>
    </w:p>
    <w:p w:rsidR="00A34A45" w:rsidRDefault="00A34A45">
      <w:pPr>
        <w:widowControl w:val="0"/>
        <w:autoSpaceDE w:val="0"/>
        <w:autoSpaceDN w:val="0"/>
        <w:adjustRightInd w:val="0"/>
        <w:ind w:firstLine="360"/>
        <w:jc w:val="both"/>
        <w:rPr>
          <w:rFonts w:cs="Times New Roman"/>
          <w:color w:val="000000"/>
        </w:rPr>
      </w:pPr>
      <w:hyperlink w:anchor="Document1zzF21974100532" w:history="1">
        <w:r>
          <w:rPr>
            <w:rFonts w:cs="Times New Roman"/>
            <w:color w:val="0000FF"/>
            <w:sz w:val="20"/>
            <w:szCs w:val="20"/>
            <w:u w:val="single"/>
          </w:rPr>
          <w:t>[2]</w:t>
        </w:r>
      </w:hyperlink>
      <w:bookmarkStart w:id="3" w:name="Document1zzB21974100532"/>
      <w:bookmarkEnd w:id="3"/>
      <w:r>
        <w:rPr>
          <w:rFonts w:cs="Times New Roman"/>
          <w:color w:val="000000"/>
        </w:rPr>
        <w:fldChar w:fldCharType="begin"/>
      </w:r>
      <w:r>
        <w:rPr>
          <w:rFonts w:cs="Times New Roman"/>
          <w:color w:val="000000"/>
        </w:rPr>
        <w:instrText>HYPERLINK \l "Document1zzF31974100532"</w:instrText>
      </w:r>
      <w:r w:rsidRPr="00AF47C1">
        <w:rPr>
          <w:rFonts w:cs="Times New Roman"/>
          <w:color w:val="000000"/>
        </w:rPr>
      </w:r>
      <w:r>
        <w:rPr>
          <w:rFonts w:cs="Times New Roman"/>
          <w:color w:val="000000"/>
        </w:rPr>
        <w:fldChar w:fldCharType="separate"/>
      </w:r>
      <w:r>
        <w:rPr>
          <w:rFonts w:cs="Times New Roman"/>
          <w:color w:val="0000FF"/>
          <w:sz w:val="20"/>
          <w:szCs w:val="20"/>
          <w:u w:val="single"/>
        </w:rPr>
        <w:t>[3]</w:t>
      </w:r>
      <w:r>
        <w:rPr>
          <w:rFonts w:cs="Times New Roman"/>
          <w:color w:val="000000"/>
        </w:rPr>
        <w:fldChar w:fldCharType="end"/>
      </w:r>
      <w:bookmarkStart w:id="4" w:name="Document1zzB31974100532"/>
      <w:bookmarkEnd w:id="4"/>
      <w:r>
        <w:rPr>
          <w:rFonts w:cs="Times New Roman"/>
          <w:color w:val="000000"/>
          <w:sz w:val="20"/>
          <w:szCs w:val="20"/>
        </w:rPr>
        <w:t xml:space="preserve"> In all employment contracts, whether at will or for a definite term, the employer's interest in running his business as he sees fit must be balanced against the interest of the employee in maintaining his employment, and the public's interest in maintai</w:t>
      </w:r>
      <w:r>
        <w:rPr>
          <w:rFonts w:cs="Times New Roman"/>
          <w:color w:val="000000"/>
          <w:sz w:val="20"/>
          <w:szCs w:val="20"/>
        </w:rPr>
        <w:t>n</w:t>
      </w:r>
      <w:r>
        <w:rPr>
          <w:rFonts w:cs="Times New Roman"/>
          <w:color w:val="000000"/>
          <w:sz w:val="20"/>
          <w:szCs w:val="20"/>
        </w:rPr>
        <w:t xml:space="preserve">ing a proper balance between the two. See </w:t>
      </w:r>
      <w:hyperlink r:id="rId10" w:history="1">
        <w:r>
          <w:rPr>
            <w:rFonts w:cs="Times New Roman"/>
            <w:color w:val="0000FF"/>
            <w:sz w:val="20"/>
            <w:szCs w:val="20"/>
            <w:u w:val="single"/>
          </w:rPr>
          <w:t>Note, Cal</w:t>
        </w:r>
        <w:r>
          <w:rPr>
            <w:rFonts w:cs="Times New Roman"/>
            <w:color w:val="0000FF"/>
            <w:sz w:val="20"/>
            <w:szCs w:val="20"/>
            <w:u w:val="single"/>
          </w:rPr>
          <w:t>i</w:t>
        </w:r>
        <w:r>
          <w:rPr>
            <w:rFonts w:cs="Times New Roman"/>
            <w:color w:val="0000FF"/>
            <w:sz w:val="20"/>
            <w:szCs w:val="20"/>
            <w:u w:val="single"/>
          </w:rPr>
          <w:t>fornia's Controls On Employer Abuse of Employee Rights, 22 Stanford L.Rev. 1015 (1970)</w:t>
        </w:r>
      </w:hyperlink>
      <w:r>
        <w:rPr>
          <w:rFonts w:cs="Times New Roman"/>
          <w:color w:val="000000"/>
          <w:sz w:val="20"/>
          <w:szCs w:val="20"/>
        </w:rPr>
        <w:t>.  We hold that a termination by the employer of a contract of employment at will which is motivated by bad faith or malice or based on retaliation is not the best inte</w:t>
      </w:r>
      <w:r>
        <w:rPr>
          <w:rFonts w:cs="Times New Roman"/>
          <w:color w:val="000000"/>
          <w:sz w:val="20"/>
          <w:szCs w:val="20"/>
        </w:rPr>
        <w:t>r</w:t>
      </w:r>
      <w:r>
        <w:rPr>
          <w:rFonts w:cs="Times New Roman"/>
          <w:color w:val="000000"/>
          <w:sz w:val="20"/>
          <w:szCs w:val="20"/>
        </w:rPr>
        <w:t xml:space="preserve">est of the economic system or the public good and constitutes a breach of the employment contract.   </w:t>
      </w:r>
      <w:hyperlink r:id="rId11" w:history="1">
        <w:r>
          <w:rPr>
            <w:rFonts w:cs="Times New Roman"/>
            <w:color w:val="0000FF"/>
            <w:sz w:val="20"/>
            <w:szCs w:val="20"/>
            <w:u w:val="single"/>
          </w:rPr>
          <w:t>Frampton v. Central Ind</w:t>
        </w:r>
        <w:r>
          <w:rPr>
            <w:rFonts w:cs="Times New Roman"/>
            <w:color w:val="0000FF"/>
            <w:sz w:val="20"/>
            <w:szCs w:val="20"/>
            <w:u w:val="single"/>
          </w:rPr>
          <w:t>i</w:t>
        </w:r>
        <w:r>
          <w:rPr>
            <w:rFonts w:cs="Times New Roman"/>
            <w:color w:val="0000FF"/>
            <w:sz w:val="20"/>
            <w:szCs w:val="20"/>
            <w:u w:val="single"/>
          </w:rPr>
          <w:t xml:space="preserve">ana Gas Co., 297 N.E.2d </w:t>
        </w:r>
        <w:r>
          <w:rPr>
            <w:rFonts w:cs="Times New Roman"/>
            <w:color w:val="0000FF"/>
            <w:sz w:val="20"/>
            <w:szCs w:val="20"/>
            <w:u w:val="single"/>
          </w:rPr>
          <w:lastRenderedPageBreak/>
          <w:t>425 (Ind.1973)</w:t>
        </w:r>
      </w:hyperlink>
      <w:r>
        <w:rPr>
          <w:rFonts w:cs="Times New Roman"/>
          <w:color w:val="000000"/>
          <w:sz w:val="20"/>
          <w:szCs w:val="20"/>
        </w:rPr>
        <w:t xml:space="preserve">; see </w:t>
      </w:r>
      <w:hyperlink r:id="rId12" w:history="1">
        <w:r>
          <w:rPr>
            <w:rFonts w:cs="Times New Roman"/>
            <w:color w:val="0000FF"/>
            <w:sz w:val="20"/>
            <w:szCs w:val="20"/>
            <w:u w:val="single"/>
          </w:rPr>
          <w:t>Petermann v. International Brotherhood, 174 Cal.App.2d 184, 189, 344 P.2d 25, 27 (1959)</w:t>
        </w:r>
      </w:hyperlink>
      <w:r>
        <w:rPr>
          <w:rFonts w:cs="Times New Roman"/>
          <w:color w:val="000000"/>
          <w:sz w:val="20"/>
          <w:szCs w:val="20"/>
        </w:rPr>
        <w:t>; Blades, Employment At Will v. Individual Freedom: On Limiting the Abusive Exercise of E</w:t>
      </w:r>
      <w:r>
        <w:rPr>
          <w:rFonts w:cs="Times New Roman"/>
          <w:color w:val="000000"/>
          <w:sz w:val="20"/>
          <w:szCs w:val="20"/>
        </w:rPr>
        <w:t>m</w:t>
      </w:r>
      <w:r>
        <w:rPr>
          <w:rFonts w:cs="Times New Roman"/>
          <w:color w:val="000000"/>
          <w:sz w:val="20"/>
          <w:szCs w:val="20"/>
        </w:rPr>
        <w:t>ployer Power, 67 Co</w:t>
      </w:r>
      <w:r>
        <w:rPr>
          <w:rFonts w:cs="Times New Roman"/>
          <w:color w:val="000000"/>
          <w:sz w:val="20"/>
          <w:szCs w:val="20"/>
        </w:rPr>
        <w:t>l</w:t>
      </w:r>
      <w:r>
        <w:rPr>
          <w:rFonts w:cs="Times New Roman"/>
          <w:color w:val="000000"/>
          <w:sz w:val="20"/>
          <w:szCs w:val="20"/>
        </w:rPr>
        <w:t xml:space="preserve">umn.L.Rev. 1404, 1418, (1967). Such a </w:t>
      </w:r>
      <w:r>
        <w:rPr>
          <w:rFonts w:cs="Times New Roman"/>
          <w:b/>
          <w:bCs/>
          <w:color w:val="000000"/>
          <w:sz w:val="20"/>
          <w:szCs w:val="20"/>
        </w:rPr>
        <w:t>**552</w:t>
      </w:r>
      <w:r>
        <w:rPr>
          <w:rFonts w:cs="Times New Roman"/>
          <w:color w:val="000000"/>
          <w:sz w:val="20"/>
          <w:szCs w:val="20"/>
        </w:rPr>
        <w:t xml:space="preserve"> rule affords the employee a certain stability of employment and does not inte</w:t>
      </w:r>
      <w:r>
        <w:rPr>
          <w:rFonts w:cs="Times New Roman"/>
          <w:color w:val="000000"/>
          <w:sz w:val="20"/>
          <w:szCs w:val="20"/>
        </w:rPr>
        <w:t>r</w:t>
      </w:r>
      <w:r>
        <w:rPr>
          <w:rFonts w:cs="Times New Roman"/>
          <w:color w:val="000000"/>
          <w:sz w:val="20"/>
          <w:szCs w:val="20"/>
        </w:rPr>
        <w:t>fere with the employer's normal exercise of his right to di</w:t>
      </w:r>
      <w:r>
        <w:rPr>
          <w:rFonts w:cs="Times New Roman"/>
          <w:color w:val="000000"/>
          <w:sz w:val="20"/>
          <w:szCs w:val="20"/>
        </w:rPr>
        <w:t>s</w:t>
      </w:r>
      <w:r>
        <w:rPr>
          <w:rFonts w:cs="Times New Roman"/>
          <w:color w:val="000000"/>
          <w:sz w:val="20"/>
          <w:szCs w:val="20"/>
        </w:rPr>
        <w:t>charge, which is necessary to permit him to operate his business efficiently and profitably.</w:t>
      </w:r>
    </w:p>
    <w:p w:rsidR="00A34A45" w:rsidRDefault="00A34A45">
      <w:pPr>
        <w:widowControl w:val="0"/>
        <w:autoSpaceDE w:val="0"/>
        <w:autoSpaceDN w:val="0"/>
        <w:adjustRightInd w:val="0"/>
        <w:rPr>
          <w:rFonts w:cs="Times New Roman"/>
          <w:color w:val="000000"/>
        </w:rPr>
      </w:pPr>
    </w:p>
    <w:p w:rsidR="00A34A45" w:rsidRDefault="00A34A45">
      <w:pPr>
        <w:widowControl w:val="0"/>
        <w:autoSpaceDE w:val="0"/>
        <w:autoSpaceDN w:val="0"/>
        <w:adjustRightInd w:val="0"/>
        <w:ind w:firstLine="360"/>
        <w:jc w:val="both"/>
        <w:rPr>
          <w:rFonts w:cs="Times New Roman"/>
          <w:color w:val="000000"/>
        </w:rPr>
      </w:pPr>
      <w:hyperlink w:anchor="Document1zzF41974100532" w:history="1">
        <w:r>
          <w:rPr>
            <w:rFonts w:cs="Times New Roman"/>
            <w:color w:val="0000FF"/>
            <w:sz w:val="20"/>
            <w:szCs w:val="20"/>
            <w:u w:val="single"/>
          </w:rPr>
          <w:t>[4]</w:t>
        </w:r>
      </w:hyperlink>
      <w:bookmarkStart w:id="5" w:name="Document1zzB41974100532"/>
      <w:bookmarkEnd w:id="5"/>
      <w:r>
        <w:rPr>
          <w:rFonts w:cs="Times New Roman"/>
          <w:color w:val="000000"/>
        </w:rPr>
        <w:fldChar w:fldCharType="begin"/>
      </w:r>
      <w:r>
        <w:rPr>
          <w:rFonts w:cs="Times New Roman"/>
          <w:color w:val="000000"/>
        </w:rPr>
        <w:instrText>HYPERLINK \l "Document1zzF51974100532"</w:instrText>
      </w:r>
      <w:r w:rsidRPr="00AF47C1">
        <w:rPr>
          <w:rFonts w:cs="Times New Roman"/>
          <w:color w:val="000000"/>
        </w:rPr>
      </w:r>
      <w:r>
        <w:rPr>
          <w:rFonts w:cs="Times New Roman"/>
          <w:color w:val="000000"/>
        </w:rPr>
        <w:fldChar w:fldCharType="separate"/>
      </w:r>
      <w:r>
        <w:rPr>
          <w:rFonts w:cs="Times New Roman"/>
          <w:color w:val="0000FF"/>
          <w:sz w:val="20"/>
          <w:szCs w:val="20"/>
          <w:u w:val="single"/>
        </w:rPr>
        <w:t>[5]</w:t>
      </w:r>
      <w:r>
        <w:rPr>
          <w:rFonts w:cs="Times New Roman"/>
          <w:color w:val="000000"/>
        </w:rPr>
        <w:fldChar w:fldCharType="end"/>
      </w:r>
      <w:bookmarkStart w:id="6" w:name="Document1zzB51974100532"/>
      <w:bookmarkEnd w:id="6"/>
      <w:r>
        <w:rPr>
          <w:rFonts w:cs="Times New Roman"/>
          <w:color w:val="000000"/>
          <w:sz w:val="20"/>
          <w:szCs w:val="20"/>
        </w:rPr>
        <w:t xml:space="preserve"> The sole question on appeal is whether there was su</w:t>
      </w:r>
      <w:r>
        <w:rPr>
          <w:rFonts w:cs="Times New Roman"/>
          <w:color w:val="000000"/>
          <w:sz w:val="20"/>
          <w:szCs w:val="20"/>
        </w:rPr>
        <w:t>f</w:t>
      </w:r>
      <w:r>
        <w:rPr>
          <w:rFonts w:cs="Times New Roman"/>
          <w:color w:val="000000"/>
          <w:sz w:val="20"/>
          <w:szCs w:val="20"/>
        </w:rPr>
        <w:t>ficient evidence to support the jury's finding that defendant, through its agents, acted mal</w:t>
      </w:r>
      <w:r>
        <w:rPr>
          <w:rFonts w:cs="Times New Roman"/>
          <w:color w:val="000000"/>
          <w:sz w:val="20"/>
          <w:szCs w:val="20"/>
        </w:rPr>
        <w:t>i</w:t>
      </w:r>
      <w:r>
        <w:rPr>
          <w:rFonts w:cs="Times New Roman"/>
          <w:color w:val="000000"/>
          <w:sz w:val="20"/>
          <w:szCs w:val="20"/>
        </w:rPr>
        <w:t>ciously in terminating plaintiff's employment. It is the function of the jury to resolve conflicts in the test</w:t>
      </w:r>
      <w:r>
        <w:rPr>
          <w:rFonts w:cs="Times New Roman"/>
          <w:color w:val="000000"/>
          <w:sz w:val="20"/>
          <w:szCs w:val="20"/>
        </w:rPr>
        <w:t>i</w:t>
      </w:r>
      <w:r>
        <w:rPr>
          <w:rFonts w:cs="Times New Roman"/>
          <w:color w:val="000000"/>
          <w:sz w:val="20"/>
          <w:szCs w:val="20"/>
        </w:rPr>
        <w:t xml:space="preserve">mony, </w:t>
      </w:r>
      <w:hyperlink r:id="rId13" w:history="1">
        <w:r>
          <w:rPr>
            <w:rFonts w:cs="Times New Roman"/>
            <w:color w:val="0000FF"/>
            <w:sz w:val="20"/>
            <w:szCs w:val="20"/>
            <w:u w:val="single"/>
          </w:rPr>
          <w:t>Kilfoyle v. Malatesta, 101 N.H. 473, 475, 147 A.2d 111, 113 (1958)</w:t>
        </w:r>
      </w:hyperlink>
      <w:r>
        <w:rPr>
          <w:rFonts w:cs="Times New Roman"/>
          <w:color w:val="000000"/>
          <w:sz w:val="20"/>
          <w:szCs w:val="20"/>
        </w:rPr>
        <w:t xml:space="preserve">; and the law is settled that a jury verdict will not be disturbed on appeal if there is evidence to support it. See </w:t>
      </w:r>
      <w:hyperlink r:id="rId14" w:history="1">
        <w:r>
          <w:rPr>
            <w:rFonts w:cs="Times New Roman"/>
            <w:color w:val="0000FF"/>
            <w:sz w:val="20"/>
            <w:szCs w:val="20"/>
            <w:u w:val="single"/>
          </w:rPr>
          <w:t>O'Brien v. Public Service Co., 95 N.H. 79, 58 A.2d 507 (1948)</w:t>
        </w:r>
      </w:hyperlink>
      <w:r>
        <w:rPr>
          <w:rFonts w:cs="Times New Roman"/>
          <w:color w:val="000000"/>
          <w:sz w:val="20"/>
          <w:szCs w:val="20"/>
        </w:rPr>
        <w:t xml:space="preserve">; </w:t>
      </w:r>
      <w:hyperlink r:id="rId15" w:history="1">
        <w:r>
          <w:rPr>
            <w:rFonts w:cs="Times New Roman"/>
            <w:color w:val="0000FF"/>
            <w:sz w:val="20"/>
            <w:szCs w:val="20"/>
            <w:u w:val="single"/>
          </w:rPr>
          <w:t>Benoit v. Pe</w:t>
        </w:r>
        <w:r>
          <w:rPr>
            <w:rFonts w:cs="Times New Roman"/>
            <w:color w:val="0000FF"/>
            <w:sz w:val="20"/>
            <w:szCs w:val="20"/>
            <w:u w:val="single"/>
          </w:rPr>
          <w:t>r</w:t>
        </w:r>
        <w:r>
          <w:rPr>
            <w:rFonts w:cs="Times New Roman"/>
            <w:color w:val="0000FF"/>
            <w:sz w:val="20"/>
            <w:szCs w:val="20"/>
            <w:u w:val="single"/>
          </w:rPr>
          <w:t>kins, 79 N.H. 11, 104 A. 254 (1918)</w:t>
        </w:r>
      </w:hyperlink>
      <w:r>
        <w:rPr>
          <w:rFonts w:cs="Times New Roman"/>
          <w:color w:val="000000"/>
          <w:sz w:val="20"/>
          <w:szCs w:val="20"/>
        </w:rPr>
        <w:t>.</w:t>
      </w:r>
    </w:p>
    <w:p w:rsidR="00A34A45" w:rsidRDefault="00A34A45">
      <w:pPr>
        <w:widowControl w:val="0"/>
        <w:autoSpaceDE w:val="0"/>
        <w:autoSpaceDN w:val="0"/>
        <w:adjustRightInd w:val="0"/>
        <w:rPr>
          <w:rFonts w:cs="Times New Roman"/>
          <w:color w:val="000000"/>
        </w:rPr>
      </w:pPr>
    </w:p>
    <w:p w:rsidR="00A34A45" w:rsidRDefault="00A34A45">
      <w:pPr>
        <w:widowControl w:val="0"/>
        <w:autoSpaceDE w:val="0"/>
        <w:autoSpaceDN w:val="0"/>
        <w:adjustRightInd w:val="0"/>
        <w:ind w:firstLine="360"/>
        <w:jc w:val="both"/>
        <w:rPr>
          <w:rFonts w:cs="Times New Roman"/>
          <w:color w:val="000000"/>
        </w:rPr>
      </w:pPr>
      <w:hyperlink w:anchor="Document1zzF61974100532" w:history="1">
        <w:r>
          <w:rPr>
            <w:rFonts w:cs="Times New Roman"/>
            <w:color w:val="0000FF"/>
            <w:sz w:val="20"/>
            <w:szCs w:val="20"/>
            <w:u w:val="single"/>
          </w:rPr>
          <w:t>[6]</w:t>
        </w:r>
      </w:hyperlink>
      <w:bookmarkStart w:id="7" w:name="Document1zzB61974100532"/>
      <w:bookmarkEnd w:id="7"/>
      <w:r>
        <w:rPr>
          <w:rFonts w:cs="Times New Roman"/>
          <w:color w:val="000000"/>
        </w:rPr>
        <w:fldChar w:fldCharType="begin"/>
      </w:r>
      <w:r>
        <w:rPr>
          <w:rFonts w:cs="Times New Roman"/>
          <w:color w:val="000000"/>
        </w:rPr>
        <w:instrText>HYPERLINK \l "Document1zzF71974100532"</w:instrText>
      </w:r>
      <w:r w:rsidRPr="00AF47C1">
        <w:rPr>
          <w:rFonts w:cs="Times New Roman"/>
          <w:color w:val="000000"/>
        </w:rPr>
      </w:r>
      <w:r>
        <w:rPr>
          <w:rFonts w:cs="Times New Roman"/>
          <w:color w:val="000000"/>
        </w:rPr>
        <w:fldChar w:fldCharType="separate"/>
      </w:r>
      <w:r>
        <w:rPr>
          <w:rFonts w:cs="Times New Roman"/>
          <w:color w:val="0000FF"/>
          <w:sz w:val="20"/>
          <w:szCs w:val="20"/>
          <w:u w:val="single"/>
        </w:rPr>
        <w:t>[7]</w:t>
      </w:r>
      <w:r>
        <w:rPr>
          <w:rFonts w:cs="Times New Roman"/>
          <w:color w:val="000000"/>
        </w:rPr>
        <w:fldChar w:fldCharType="end"/>
      </w:r>
      <w:bookmarkStart w:id="8" w:name="Document1zzB71974100532"/>
      <w:bookmarkEnd w:id="8"/>
      <w:r>
        <w:rPr>
          <w:rFonts w:cs="Times New Roman"/>
          <w:color w:val="000000"/>
          <w:sz w:val="20"/>
          <w:szCs w:val="20"/>
        </w:rPr>
        <w:t xml:space="preserve"> The jury could draw the not-so-subtle i</w:t>
      </w:r>
      <w:r>
        <w:rPr>
          <w:rFonts w:cs="Times New Roman"/>
          <w:color w:val="000000"/>
          <w:sz w:val="20"/>
          <w:szCs w:val="20"/>
        </w:rPr>
        <w:t>n</w:t>
      </w:r>
      <w:r>
        <w:rPr>
          <w:rFonts w:cs="Times New Roman"/>
          <w:color w:val="000000"/>
          <w:sz w:val="20"/>
          <w:szCs w:val="20"/>
        </w:rPr>
        <w:t xml:space="preserve">ference from the evidence before it that the hostility of defendant's foreman </w:t>
      </w:r>
      <w:r>
        <w:rPr>
          <w:rFonts w:cs="Times New Roman"/>
          <w:b/>
          <w:bCs/>
          <w:color w:val="000000"/>
          <w:sz w:val="20"/>
          <w:szCs w:val="20"/>
        </w:rPr>
        <w:t>*134</w:t>
      </w:r>
      <w:r>
        <w:rPr>
          <w:rFonts w:cs="Times New Roman"/>
          <w:color w:val="000000"/>
          <w:sz w:val="20"/>
          <w:szCs w:val="20"/>
        </w:rPr>
        <w:t xml:space="preserve"> and connivance of the personnel manager resulted in the letter of August 13, 1969, and that that letter was in effect a di</w:t>
      </w:r>
      <w:r>
        <w:rPr>
          <w:rFonts w:cs="Times New Roman"/>
          <w:color w:val="000000"/>
          <w:sz w:val="20"/>
          <w:szCs w:val="20"/>
        </w:rPr>
        <w:t>s</w:t>
      </w:r>
      <w:r>
        <w:rPr>
          <w:rFonts w:cs="Times New Roman"/>
          <w:color w:val="000000"/>
          <w:sz w:val="20"/>
          <w:szCs w:val="20"/>
        </w:rPr>
        <w:t xml:space="preserve">charge. See </w:t>
      </w:r>
      <w:hyperlink r:id="rId16" w:history="1">
        <w:r>
          <w:rPr>
            <w:rFonts w:cs="Times New Roman"/>
            <w:color w:val="0000FF"/>
            <w:sz w:val="20"/>
            <w:szCs w:val="20"/>
            <w:u w:val="single"/>
          </w:rPr>
          <w:t>Colorado Civil Rights Comm'n v. State School Dist. No. 1, 30 Colo.App. 10, 488 P.2d 83, 86 (1971)</w:t>
        </w:r>
      </w:hyperlink>
      <w:r>
        <w:rPr>
          <w:rFonts w:cs="Times New Roman"/>
          <w:color w:val="000000"/>
          <w:sz w:val="20"/>
          <w:szCs w:val="20"/>
        </w:rPr>
        <w:t>. The foreman's overtures and the capricious firing at 2:00 a.m., the seeming manipulation of job assig</w:t>
      </w:r>
      <w:r>
        <w:rPr>
          <w:rFonts w:cs="Times New Roman"/>
          <w:color w:val="000000"/>
          <w:sz w:val="20"/>
          <w:szCs w:val="20"/>
        </w:rPr>
        <w:t>n</w:t>
      </w:r>
      <w:r>
        <w:rPr>
          <w:rFonts w:cs="Times New Roman"/>
          <w:color w:val="000000"/>
          <w:sz w:val="20"/>
          <w:szCs w:val="20"/>
        </w:rPr>
        <w:t>ments, and the apparent connivance of the personnel manager in this course of events all support the jury's conclusion that the dismissal was maliciously mot</w:t>
      </w:r>
      <w:r>
        <w:rPr>
          <w:rFonts w:cs="Times New Roman"/>
          <w:color w:val="000000"/>
          <w:sz w:val="20"/>
          <w:szCs w:val="20"/>
        </w:rPr>
        <w:t>i</w:t>
      </w:r>
      <w:r>
        <w:rPr>
          <w:rFonts w:cs="Times New Roman"/>
          <w:color w:val="000000"/>
          <w:sz w:val="20"/>
          <w:szCs w:val="20"/>
        </w:rPr>
        <w:t>vated.</w:t>
      </w:r>
    </w:p>
    <w:p w:rsidR="00A34A45" w:rsidRDefault="00A34A45">
      <w:pPr>
        <w:widowControl w:val="0"/>
        <w:autoSpaceDE w:val="0"/>
        <w:autoSpaceDN w:val="0"/>
        <w:adjustRightInd w:val="0"/>
        <w:rPr>
          <w:rFonts w:cs="Times New Roman"/>
          <w:color w:val="000000"/>
        </w:rPr>
      </w:pPr>
    </w:p>
    <w:p w:rsidR="00A34A45" w:rsidRDefault="00A34A45">
      <w:pPr>
        <w:widowControl w:val="0"/>
        <w:autoSpaceDE w:val="0"/>
        <w:autoSpaceDN w:val="0"/>
        <w:adjustRightInd w:val="0"/>
        <w:ind w:firstLine="360"/>
        <w:jc w:val="both"/>
        <w:rPr>
          <w:rFonts w:cs="Times New Roman"/>
          <w:color w:val="000000"/>
        </w:rPr>
      </w:pPr>
      <w:hyperlink w:anchor="Document1zzF81974100532" w:history="1">
        <w:r>
          <w:rPr>
            <w:rFonts w:cs="Times New Roman"/>
            <w:color w:val="0000FF"/>
            <w:sz w:val="20"/>
            <w:szCs w:val="20"/>
            <w:u w:val="single"/>
          </w:rPr>
          <w:t>[8]</w:t>
        </w:r>
      </w:hyperlink>
      <w:bookmarkStart w:id="9" w:name="Document1zzB81974100532"/>
      <w:bookmarkEnd w:id="9"/>
      <w:r>
        <w:rPr>
          <w:rFonts w:cs="Times New Roman"/>
          <w:color w:val="000000"/>
        </w:rPr>
        <w:fldChar w:fldCharType="begin"/>
      </w:r>
      <w:r>
        <w:rPr>
          <w:rFonts w:cs="Times New Roman"/>
          <w:color w:val="000000"/>
        </w:rPr>
        <w:instrText>HYPERLINK \l "Document1zzF91974100532"</w:instrText>
      </w:r>
      <w:r w:rsidRPr="00AF47C1">
        <w:rPr>
          <w:rFonts w:cs="Times New Roman"/>
          <w:color w:val="000000"/>
        </w:rPr>
      </w:r>
      <w:r>
        <w:rPr>
          <w:rFonts w:cs="Times New Roman"/>
          <w:color w:val="000000"/>
        </w:rPr>
        <w:fldChar w:fldCharType="separate"/>
      </w:r>
      <w:r>
        <w:rPr>
          <w:rFonts w:cs="Times New Roman"/>
          <w:color w:val="0000FF"/>
          <w:sz w:val="20"/>
          <w:szCs w:val="20"/>
          <w:u w:val="single"/>
        </w:rPr>
        <w:t>[9]</w:t>
      </w:r>
      <w:r>
        <w:rPr>
          <w:rFonts w:cs="Times New Roman"/>
          <w:color w:val="000000"/>
        </w:rPr>
        <w:fldChar w:fldCharType="end"/>
      </w:r>
      <w:bookmarkStart w:id="10" w:name="Document1zzB91974100532"/>
      <w:bookmarkEnd w:id="10"/>
      <w:r>
        <w:rPr>
          <w:rFonts w:cs="Times New Roman"/>
          <w:color w:val="000000"/>
          <w:sz w:val="20"/>
          <w:szCs w:val="20"/>
        </w:rPr>
        <w:t xml:space="preserve"> In our opinion, however, the verdict i</w:t>
      </w:r>
      <w:r>
        <w:rPr>
          <w:rFonts w:cs="Times New Roman"/>
          <w:color w:val="000000"/>
          <w:sz w:val="20"/>
          <w:szCs w:val="20"/>
        </w:rPr>
        <w:t>n</w:t>
      </w:r>
      <w:r>
        <w:rPr>
          <w:rFonts w:cs="Times New Roman"/>
          <w:color w:val="000000"/>
          <w:sz w:val="20"/>
          <w:szCs w:val="20"/>
        </w:rPr>
        <w:t>cludes elements of damage not properly recoverable. The plaintiff lost 20 weeks employment at an average pay of $70.81 per week. This would account for $1,416.20 of the verdict, leaving $1,083.80 attribut</w:t>
      </w:r>
      <w:r>
        <w:rPr>
          <w:rFonts w:cs="Times New Roman"/>
          <w:color w:val="000000"/>
          <w:sz w:val="20"/>
          <w:szCs w:val="20"/>
        </w:rPr>
        <w:t>a</w:t>
      </w:r>
      <w:r>
        <w:rPr>
          <w:rFonts w:cs="Times New Roman"/>
          <w:color w:val="000000"/>
          <w:sz w:val="20"/>
          <w:szCs w:val="20"/>
        </w:rPr>
        <w:t>ble to mental suffering. Such damages are not gene</w:t>
      </w:r>
      <w:r>
        <w:rPr>
          <w:rFonts w:cs="Times New Roman"/>
          <w:color w:val="000000"/>
          <w:sz w:val="20"/>
          <w:szCs w:val="20"/>
        </w:rPr>
        <w:t>r</w:t>
      </w:r>
      <w:r>
        <w:rPr>
          <w:rFonts w:cs="Times New Roman"/>
          <w:color w:val="000000"/>
          <w:sz w:val="20"/>
          <w:szCs w:val="20"/>
        </w:rPr>
        <w:t>ally reco</w:t>
      </w:r>
      <w:r>
        <w:rPr>
          <w:rFonts w:cs="Times New Roman"/>
          <w:color w:val="000000"/>
          <w:sz w:val="20"/>
          <w:szCs w:val="20"/>
        </w:rPr>
        <w:t>v</w:t>
      </w:r>
      <w:r>
        <w:rPr>
          <w:rFonts w:cs="Times New Roman"/>
          <w:color w:val="000000"/>
          <w:sz w:val="20"/>
          <w:szCs w:val="20"/>
        </w:rPr>
        <w:t xml:space="preserve">erable in a contract action. ( </w:t>
      </w:r>
      <w:hyperlink r:id="rId17" w:history="1">
        <w:r>
          <w:rPr>
            <w:rFonts w:cs="Times New Roman"/>
            <w:color w:val="0000FF"/>
            <w:sz w:val="20"/>
            <w:szCs w:val="20"/>
            <w:u w:val="single"/>
          </w:rPr>
          <w:t>Dunn &amp; Sons, Inc. v. Paragon Homes of New Eng. Inc., 110 N.H. 215, 218, 265 A.2d 5 (1970)</w:t>
        </w:r>
      </w:hyperlink>
      <w:r>
        <w:rPr>
          <w:rFonts w:cs="Times New Roman"/>
          <w:color w:val="000000"/>
          <w:sz w:val="20"/>
          <w:szCs w:val="20"/>
        </w:rPr>
        <w:t xml:space="preserve">; </w:t>
      </w:r>
      <w:hyperlink r:id="rId18" w:history="1">
        <w:r>
          <w:rPr>
            <w:rFonts w:cs="Times New Roman"/>
            <w:color w:val="0000FF"/>
            <w:sz w:val="20"/>
            <w:szCs w:val="20"/>
            <w:u w:val="single"/>
          </w:rPr>
          <w:t>Francoeur v. Stephen, 97 N.H. 80, 81 A.2d 308 (1951)</w:t>
        </w:r>
      </w:hyperlink>
      <w:r>
        <w:rPr>
          <w:rFonts w:cs="Times New Roman"/>
          <w:color w:val="000000"/>
          <w:sz w:val="20"/>
          <w:szCs w:val="20"/>
        </w:rPr>
        <w:t xml:space="preserve">; </w:t>
      </w:r>
      <w:hyperlink r:id="rId19" w:history="1">
        <w:r>
          <w:rPr>
            <w:rFonts w:cs="Times New Roman"/>
            <w:color w:val="0000FF"/>
            <w:sz w:val="20"/>
            <w:szCs w:val="20"/>
            <w:u w:val="single"/>
          </w:rPr>
          <w:t>Johnson v. Waisman Bros., 93 N.H. 133, 36 A.2d 634 (1944)</w:t>
        </w:r>
      </w:hyperlink>
      <w:r>
        <w:rPr>
          <w:rFonts w:cs="Times New Roman"/>
          <w:color w:val="000000"/>
          <w:sz w:val="20"/>
          <w:szCs w:val="20"/>
        </w:rPr>
        <w:t>). They could not be found in this case to have resulted from the discharge. Defendant had been having diff</w:t>
      </w:r>
      <w:r>
        <w:rPr>
          <w:rFonts w:cs="Times New Roman"/>
          <w:color w:val="000000"/>
          <w:sz w:val="20"/>
          <w:szCs w:val="20"/>
        </w:rPr>
        <w:t>i</w:t>
      </w:r>
      <w:r>
        <w:rPr>
          <w:rFonts w:cs="Times New Roman"/>
          <w:color w:val="000000"/>
          <w:sz w:val="20"/>
          <w:szCs w:val="20"/>
        </w:rPr>
        <w:t>culty with her husband and had been receiving a</w:t>
      </w:r>
      <w:r>
        <w:rPr>
          <w:rFonts w:cs="Times New Roman"/>
          <w:color w:val="000000"/>
          <w:sz w:val="20"/>
          <w:szCs w:val="20"/>
        </w:rPr>
        <w:t>n</w:t>
      </w:r>
      <w:r>
        <w:rPr>
          <w:rFonts w:cs="Times New Roman"/>
          <w:color w:val="000000"/>
          <w:sz w:val="20"/>
          <w:szCs w:val="20"/>
        </w:rPr>
        <w:lastRenderedPageBreak/>
        <w:t>noying telephone calls which upset her. She presen</w:t>
      </w:r>
      <w:r>
        <w:rPr>
          <w:rFonts w:cs="Times New Roman"/>
          <w:color w:val="000000"/>
          <w:sz w:val="20"/>
          <w:szCs w:val="20"/>
        </w:rPr>
        <w:t>t</w:t>
      </w:r>
      <w:r>
        <w:rPr>
          <w:rFonts w:cs="Times New Roman"/>
          <w:color w:val="000000"/>
          <w:sz w:val="20"/>
          <w:szCs w:val="20"/>
        </w:rPr>
        <w:t>ed no medical testimony. Although she alleged that her discharge caused her mental suffering, her diff</w:t>
      </w:r>
      <w:r>
        <w:rPr>
          <w:rFonts w:cs="Times New Roman"/>
          <w:color w:val="000000"/>
          <w:sz w:val="20"/>
          <w:szCs w:val="20"/>
        </w:rPr>
        <w:t>i</w:t>
      </w:r>
      <w:r>
        <w:rPr>
          <w:rFonts w:cs="Times New Roman"/>
          <w:color w:val="000000"/>
          <w:sz w:val="20"/>
          <w:szCs w:val="20"/>
        </w:rPr>
        <w:t>culties all preceded the discharge. We therefore r</w:t>
      </w:r>
      <w:r>
        <w:rPr>
          <w:rFonts w:cs="Times New Roman"/>
          <w:color w:val="000000"/>
          <w:sz w:val="20"/>
          <w:szCs w:val="20"/>
        </w:rPr>
        <w:t>e</w:t>
      </w:r>
      <w:r>
        <w:rPr>
          <w:rFonts w:cs="Times New Roman"/>
          <w:color w:val="000000"/>
          <w:sz w:val="20"/>
          <w:szCs w:val="20"/>
        </w:rPr>
        <w:t>mand the case for a new trial unless the plaintiff co</w:t>
      </w:r>
      <w:r>
        <w:rPr>
          <w:rFonts w:cs="Times New Roman"/>
          <w:color w:val="000000"/>
          <w:sz w:val="20"/>
          <w:szCs w:val="20"/>
        </w:rPr>
        <w:t>n</w:t>
      </w:r>
      <w:r>
        <w:rPr>
          <w:rFonts w:cs="Times New Roman"/>
          <w:color w:val="000000"/>
          <w:sz w:val="20"/>
          <w:szCs w:val="20"/>
        </w:rPr>
        <w:t>sents to a reduction of the verdict by the amount of $1,083.80.</w:t>
      </w:r>
    </w:p>
    <w:p w:rsidR="00A34A45" w:rsidRDefault="00A34A45">
      <w:pPr>
        <w:widowControl w:val="0"/>
        <w:autoSpaceDE w:val="0"/>
        <w:autoSpaceDN w:val="0"/>
        <w:adjustRightInd w:val="0"/>
        <w:rPr>
          <w:rFonts w:cs="Times New Roman"/>
          <w:color w:val="000000"/>
        </w:rPr>
      </w:pPr>
    </w:p>
    <w:p w:rsidR="00A34A45" w:rsidRDefault="00A34A45">
      <w:pPr>
        <w:widowControl w:val="0"/>
        <w:autoSpaceDE w:val="0"/>
        <w:autoSpaceDN w:val="0"/>
        <w:adjustRightInd w:val="0"/>
        <w:ind w:firstLine="360"/>
        <w:jc w:val="both"/>
        <w:rPr>
          <w:rFonts w:cs="Times New Roman"/>
          <w:color w:val="000000"/>
        </w:rPr>
      </w:pPr>
      <w:r>
        <w:rPr>
          <w:rFonts w:cs="Times New Roman"/>
          <w:color w:val="000000"/>
          <w:sz w:val="20"/>
          <w:szCs w:val="20"/>
        </w:rPr>
        <w:t>Remanded.</w:t>
      </w:r>
    </w:p>
    <w:p w:rsidR="00A34A45" w:rsidRDefault="00A34A45">
      <w:pPr>
        <w:widowControl w:val="0"/>
        <w:autoSpaceDE w:val="0"/>
        <w:autoSpaceDN w:val="0"/>
        <w:adjustRightInd w:val="0"/>
        <w:rPr>
          <w:rFonts w:cs="Times New Roman"/>
          <w:color w:val="000000"/>
        </w:rPr>
      </w:pPr>
    </w:p>
    <w:p w:rsidR="00A34A45" w:rsidRDefault="00A34A45">
      <w:pPr>
        <w:widowControl w:val="0"/>
        <w:autoSpaceDE w:val="0"/>
        <w:autoSpaceDN w:val="0"/>
        <w:adjustRightInd w:val="0"/>
        <w:jc w:val="both"/>
        <w:rPr>
          <w:rFonts w:cs="Times New Roman"/>
          <w:color w:val="000000"/>
        </w:rPr>
      </w:pPr>
      <w:r>
        <w:rPr>
          <w:rFonts w:cs="Times New Roman"/>
          <w:color w:val="000000"/>
          <w:sz w:val="20"/>
          <w:szCs w:val="20"/>
        </w:rPr>
        <w:t>GRIFFITH, J., did not sit; GRIMES, J., dissented; the others co</w:t>
      </w:r>
      <w:r>
        <w:rPr>
          <w:rFonts w:cs="Times New Roman"/>
          <w:color w:val="000000"/>
          <w:sz w:val="20"/>
          <w:szCs w:val="20"/>
        </w:rPr>
        <w:t>n</w:t>
      </w:r>
      <w:r>
        <w:rPr>
          <w:rFonts w:cs="Times New Roman"/>
          <w:color w:val="000000"/>
          <w:sz w:val="20"/>
          <w:szCs w:val="20"/>
        </w:rPr>
        <w:t>curred.</w:t>
      </w:r>
    </w:p>
    <w:p w:rsidR="00A34A45" w:rsidRDefault="00A34A45">
      <w:pPr>
        <w:widowControl w:val="0"/>
        <w:autoSpaceDE w:val="0"/>
        <w:autoSpaceDN w:val="0"/>
        <w:adjustRightInd w:val="0"/>
        <w:rPr>
          <w:rFonts w:cs="Times New Roman"/>
          <w:color w:val="000000"/>
        </w:rPr>
      </w:pPr>
    </w:p>
    <w:p w:rsidR="00A34A45" w:rsidRDefault="00A34A45">
      <w:pPr>
        <w:widowControl w:val="0"/>
        <w:autoSpaceDE w:val="0"/>
        <w:autoSpaceDN w:val="0"/>
        <w:adjustRightInd w:val="0"/>
        <w:jc w:val="both"/>
        <w:rPr>
          <w:rFonts w:cs="Times New Roman"/>
          <w:color w:val="000000"/>
        </w:rPr>
      </w:pPr>
      <w:r>
        <w:rPr>
          <w:rFonts w:cs="Times New Roman"/>
          <w:color w:val="000000"/>
          <w:sz w:val="20"/>
          <w:szCs w:val="20"/>
        </w:rPr>
        <w:t>GRIMES, Justice (dissenting):</w:t>
      </w:r>
    </w:p>
    <w:p w:rsidR="00A34A45" w:rsidRDefault="00A34A45">
      <w:pPr>
        <w:widowControl w:val="0"/>
        <w:autoSpaceDE w:val="0"/>
        <w:autoSpaceDN w:val="0"/>
        <w:adjustRightInd w:val="0"/>
        <w:ind w:firstLine="360"/>
        <w:jc w:val="both"/>
        <w:rPr>
          <w:rFonts w:cs="Times New Roman"/>
          <w:color w:val="000000"/>
        </w:rPr>
      </w:pPr>
      <w:r>
        <w:rPr>
          <w:rFonts w:cs="Times New Roman"/>
          <w:color w:val="000000"/>
          <w:sz w:val="20"/>
          <w:szCs w:val="20"/>
        </w:rPr>
        <w:t>In my view, reasonable men could not find for the plaintiff on the evidence in this case even under the new rule of law which the court has fashioned today. The substance of the plai</w:t>
      </w:r>
      <w:r>
        <w:rPr>
          <w:rFonts w:cs="Times New Roman"/>
          <w:color w:val="000000"/>
          <w:sz w:val="20"/>
          <w:szCs w:val="20"/>
        </w:rPr>
        <w:t>n</w:t>
      </w:r>
      <w:r>
        <w:rPr>
          <w:rFonts w:cs="Times New Roman"/>
          <w:color w:val="000000"/>
          <w:sz w:val="20"/>
          <w:szCs w:val="20"/>
        </w:rPr>
        <w:t>tiff's claim is that she was discharged because she did not accept an invitation of her foreman to go out with him. Al</w:t>
      </w:r>
      <w:r>
        <w:rPr>
          <w:rFonts w:cs="Times New Roman"/>
          <w:color w:val="000000"/>
          <w:sz w:val="20"/>
          <w:szCs w:val="20"/>
        </w:rPr>
        <w:t>t</w:t>
      </w:r>
      <w:r>
        <w:rPr>
          <w:rFonts w:cs="Times New Roman"/>
          <w:color w:val="000000"/>
          <w:sz w:val="20"/>
          <w:szCs w:val="20"/>
        </w:rPr>
        <w:t xml:space="preserve">hough it was denied by the foreman, the jury could </w:t>
      </w:r>
      <w:r>
        <w:rPr>
          <w:rFonts w:cs="Times New Roman"/>
          <w:b/>
          <w:bCs/>
          <w:color w:val="000000"/>
          <w:sz w:val="20"/>
          <w:szCs w:val="20"/>
        </w:rPr>
        <w:t>*135</w:t>
      </w:r>
      <w:r>
        <w:rPr>
          <w:rFonts w:cs="Times New Roman"/>
          <w:color w:val="000000"/>
          <w:sz w:val="20"/>
          <w:szCs w:val="20"/>
        </w:rPr>
        <w:t xml:space="preserve"> find on plaintiff's testimony alone that the inv</w:t>
      </w:r>
      <w:r>
        <w:rPr>
          <w:rFonts w:cs="Times New Roman"/>
          <w:color w:val="000000"/>
          <w:sz w:val="20"/>
          <w:szCs w:val="20"/>
        </w:rPr>
        <w:t>i</w:t>
      </w:r>
      <w:r>
        <w:rPr>
          <w:rFonts w:cs="Times New Roman"/>
          <w:color w:val="000000"/>
          <w:sz w:val="20"/>
          <w:szCs w:val="20"/>
        </w:rPr>
        <w:t>tation was extended. It was a single instance, howe</w:t>
      </w:r>
      <w:r>
        <w:rPr>
          <w:rFonts w:cs="Times New Roman"/>
          <w:color w:val="000000"/>
          <w:sz w:val="20"/>
          <w:szCs w:val="20"/>
        </w:rPr>
        <w:t>v</w:t>
      </w:r>
      <w:r>
        <w:rPr>
          <w:rFonts w:cs="Times New Roman"/>
          <w:color w:val="000000"/>
          <w:sz w:val="20"/>
          <w:szCs w:val="20"/>
        </w:rPr>
        <w:t>er, and there is no claim that it was repeated or fu</w:t>
      </w:r>
      <w:r>
        <w:rPr>
          <w:rFonts w:cs="Times New Roman"/>
          <w:color w:val="000000"/>
          <w:sz w:val="20"/>
          <w:szCs w:val="20"/>
        </w:rPr>
        <w:t>r</w:t>
      </w:r>
      <w:r>
        <w:rPr>
          <w:rFonts w:cs="Times New Roman"/>
          <w:color w:val="000000"/>
          <w:sz w:val="20"/>
          <w:szCs w:val="20"/>
        </w:rPr>
        <w:t>ther pursued. It is not findable that this single r</w:t>
      </w:r>
      <w:r>
        <w:rPr>
          <w:rFonts w:cs="Times New Roman"/>
          <w:color w:val="000000"/>
          <w:sz w:val="20"/>
          <w:szCs w:val="20"/>
        </w:rPr>
        <w:t>e</w:t>
      </w:r>
      <w:r>
        <w:rPr>
          <w:rFonts w:cs="Times New Roman"/>
          <w:color w:val="000000"/>
          <w:sz w:val="20"/>
          <w:szCs w:val="20"/>
        </w:rPr>
        <w:t>fusal was the reason for the termination of plaintiff's e</w:t>
      </w:r>
      <w:r>
        <w:rPr>
          <w:rFonts w:cs="Times New Roman"/>
          <w:color w:val="000000"/>
          <w:sz w:val="20"/>
          <w:szCs w:val="20"/>
        </w:rPr>
        <w:t>m</w:t>
      </w:r>
      <w:r>
        <w:rPr>
          <w:rFonts w:cs="Times New Roman"/>
          <w:color w:val="000000"/>
          <w:sz w:val="20"/>
          <w:szCs w:val="20"/>
        </w:rPr>
        <w:t>ployment. There was evidence, and none to the co</w:t>
      </w:r>
      <w:r>
        <w:rPr>
          <w:rFonts w:cs="Times New Roman"/>
          <w:color w:val="000000"/>
          <w:sz w:val="20"/>
          <w:szCs w:val="20"/>
        </w:rPr>
        <w:t>n</w:t>
      </w:r>
      <w:r>
        <w:rPr>
          <w:rFonts w:cs="Times New Roman"/>
          <w:color w:val="000000"/>
          <w:sz w:val="20"/>
          <w:szCs w:val="20"/>
        </w:rPr>
        <w:t>trary, that it was a shortage of work and her lo</w:t>
      </w:r>
      <w:r>
        <w:rPr>
          <w:rFonts w:cs="Times New Roman"/>
          <w:color w:val="000000"/>
          <w:sz w:val="20"/>
          <w:szCs w:val="20"/>
        </w:rPr>
        <w:t>w</w:t>
      </w:r>
      <w:r>
        <w:rPr>
          <w:rFonts w:cs="Times New Roman"/>
          <w:color w:val="000000"/>
          <w:sz w:val="20"/>
          <w:szCs w:val="20"/>
        </w:rPr>
        <w:t>est seniority that caused her press machine to be shut down and her loss of overtime. When her machine was shut down, she was given work on a degreasing machine at a higher rate of pay than when she started. When she told the foreman she ‘needed the money’ from the overtime, he offered what from the unco</w:t>
      </w:r>
      <w:r>
        <w:rPr>
          <w:rFonts w:cs="Times New Roman"/>
          <w:color w:val="000000"/>
          <w:sz w:val="20"/>
          <w:szCs w:val="20"/>
        </w:rPr>
        <w:t>n</w:t>
      </w:r>
      <w:r>
        <w:rPr>
          <w:rFonts w:cs="Times New Roman"/>
          <w:color w:val="000000"/>
          <w:sz w:val="20"/>
          <w:szCs w:val="20"/>
        </w:rPr>
        <w:t>tradicted evidence was the only work available to help her out until her overtime was restored. The only so-called haras</w:t>
      </w:r>
      <w:r>
        <w:rPr>
          <w:rFonts w:cs="Times New Roman"/>
          <w:color w:val="000000"/>
          <w:sz w:val="20"/>
          <w:szCs w:val="20"/>
        </w:rPr>
        <w:t>s</w:t>
      </w:r>
      <w:r>
        <w:rPr>
          <w:rFonts w:cs="Times New Roman"/>
          <w:color w:val="000000"/>
          <w:sz w:val="20"/>
          <w:szCs w:val="20"/>
        </w:rPr>
        <w:t xml:space="preserve">ment and ridicule claimed amounts to no more than </w:t>
      </w:r>
      <w:r>
        <w:rPr>
          <w:rFonts w:cs="Times New Roman"/>
          <w:b/>
          <w:bCs/>
          <w:color w:val="000000"/>
          <w:sz w:val="20"/>
          <w:szCs w:val="20"/>
        </w:rPr>
        <w:t>**553</w:t>
      </w:r>
      <w:r>
        <w:rPr>
          <w:rFonts w:cs="Times New Roman"/>
          <w:color w:val="000000"/>
          <w:sz w:val="20"/>
          <w:szCs w:val="20"/>
        </w:rPr>
        <w:t xml:space="preserve"> once saying ‘How do you like my floor boy?’ and ‘My wife wouldn't do that.’ It is uncontradicted that when she was having trouble with annoying phone calls and needed help, the personnel ma</w:t>
      </w:r>
      <w:r>
        <w:rPr>
          <w:rFonts w:cs="Times New Roman"/>
          <w:color w:val="000000"/>
          <w:sz w:val="20"/>
          <w:szCs w:val="20"/>
        </w:rPr>
        <w:t>n</w:t>
      </w:r>
      <w:r>
        <w:rPr>
          <w:rFonts w:cs="Times New Roman"/>
          <w:color w:val="000000"/>
          <w:sz w:val="20"/>
          <w:szCs w:val="20"/>
        </w:rPr>
        <w:t>ager personally went to the police and then to her home to talk with her and her husband; that when she could not pick up her Christmas truckey, the foreman personally Christmas turkey, the foreman personally and that he also at her request gave her hu</w:t>
      </w:r>
      <w:r>
        <w:rPr>
          <w:rFonts w:cs="Times New Roman"/>
          <w:color w:val="000000"/>
          <w:sz w:val="20"/>
          <w:szCs w:val="20"/>
        </w:rPr>
        <w:t>s</w:t>
      </w:r>
      <w:r>
        <w:rPr>
          <w:rFonts w:cs="Times New Roman"/>
          <w:color w:val="000000"/>
          <w:sz w:val="20"/>
          <w:szCs w:val="20"/>
        </w:rPr>
        <w:t>band, a mechanic, work on his automobile.</w:t>
      </w:r>
    </w:p>
    <w:p w:rsidR="00A34A45" w:rsidRDefault="00A34A45">
      <w:pPr>
        <w:widowControl w:val="0"/>
        <w:autoSpaceDE w:val="0"/>
        <w:autoSpaceDN w:val="0"/>
        <w:adjustRightInd w:val="0"/>
        <w:rPr>
          <w:rFonts w:cs="Times New Roman"/>
          <w:color w:val="000000"/>
        </w:rPr>
      </w:pPr>
    </w:p>
    <w:p w:rsidR="00A34A45" w:rsidRDefault="00A34A45">
      <w:pPr>
        <w:widowControl w:val="0"/>
        <w:autoSpaceDE w:val="0"/>
        <w:autoSpaceDN w:val="0"/>
        <w:adjustRightInd w:val="0"/>
        <w:ind w:firstLine="360"/>
        <w:jc w:val="both"/>
        <w:rPr>
          <w:rFonts w:cs="Times New Roman"/>
          <w:color w:val="000000"/>
        </w:rPr>
      </w:pPr>
      <w:r>
        <w:rPr>
          <w:rFonts w:cs="Times New Roman"/>
          <w:color w:val="000000"/>
          <w:sz w:val="20"/>
          <w:szCs w:val="20"/>
        </w:rPr>
        <w:t>Her final termination was in accordance with e</w:t>
      </w:r>
      <w:r>
        <w:rPr>
          <w:rFonts w:cs="Times New Roman"/>
          <w:color w:val="000000"/>
          <w:sz w:val="20"/>
          <w:szCs w:val="20"/>
        </w:rPr>
        <w:t>s</w:t>
      </w:r>
      <w:r>
        <w:rPr>
          <w:rFonts w:cs="Times New Roman"/>
          <w:color w:val="000000"/>
          <w:sz w:val="20"/>
          <w:szCs w:val="20"/>
        </w:rPr>
        <w:t xml:space="preserve">tablished company rules and she neither contested the termination nor pursued the grievance procedures </w:t>
      </w:r>
      <w:r>
        <w:rPr>
          <w:rFonts w:cs="Times New Roman"/>
          <w:color w:val="000000"/>
          <w:sz w:val="20"/>
          <w:szCs w:val="20"/>
        </w:rPr>
        <w:lastRenderedPageBreak/>
        <w:t>under the union contract. She was denied unemplo</w:t>
      </w:r>
      <w:r>
        <w:rPr>
          <w:rFonts w:cs="Times New Roman"/>
          <w:color w:val="000000"/>
          <w:sz w:val="20"/>
          <w:szCs w:val="20"/>
        </w:rPr>
        <w:t>y</w:t>
      </w:r>
      <w:r>
        <w:rPr>
          <w:rFonts w:cs="Times New Roman"/>
          <w:color w:val="000000"/>
          <w:sz w:val="20"/>
          <w:szCs w:val="20"/>
        </w:rPr>
        <w:t>ment compensation on the ground that she was a ‘voluntary quit’ and did not appeal that finding.</w:t>
      </w:r>
    </w:p>
    <w:p w:rsidR="00A34A45" w:rsidRDefault="00A34A45">
      <w:pPr>
        <w:widowControl w:val="0"/>
        <w:autoSpaceDE w:val="0"/>
        <w:autoSpaceDN w:val="0"/>
        <w:adjustRightInd w:val="0"/>
        <w:rPr>
          <w:rFonts w:cs="Times New Roman"/>
          <w:color w:val="000000"/>
        </w:rPr>
      </w:pPr>
    </w:p>
    <w:p w:rsidR="00A34A45" w:rsidRDefault="00A34A45">
      <w:pPr>
        <w:widowControl w:val="0"/>
        <w:autoSpaceDE w:val="0"/>
        <w:autoSpaceDN w:val="0"/>
        <w:adjustRightInd w:val="0"/>
        <w:ind w:firstLine="360"/>
        <w:jc w:val="both"/>
        <w:rPr>
          <w:rFonts w:cs="Times New Roman"/>
          <w:color w:val="000000"/>
        </w:rPr>
      </w:pPr>
      <w:r>
        <w:rPr>
          <w:rFonts w:cs="Times New Roman"/>
          <w:color w:val="000000"/>
          <w:sz w:val="20"/>
          <w:szCs w:val="20"/>
        </w:rPr>
        <w:t>A finding that this company discharged the plaintiff because she refused her foreman a date eight months before could not reasonably be made and should not be permitted to stand.</w:t>
      </w:r>
    </w:p>
    <w:p w:rsidR="00A34A45" w:rsidRDefault="00A34A45">
      <w:pPr>
        <w:widowControl w:val="0"/>
        <w:autoSpaceDE w:val="0"/>
        <w:autoSpaceDN w:val="0"/>
        <w:adjustRightInd w:val="0"/>
        <w:rPr>
          <w:rFonts w:cs="Times New Roman"/>
          <w:color w:val="000000"/>
        </w:rPr>
      </w:pPr>
    </w:p>
    <w:p w:rsidR="00A34A45" w:rsidRDefault="00A34A45">
      <w:pPr>
        <w:widowControl w:val="0"/>
        <w:autoSpaceDE w:val="0"/>
        <w:autoSpaceDN w:val="0"/>
        <w:adjustRightInd w:val="0"/>
        <w:ind w:firstLine="360"/>
        <w:jc w:val="both"/>
        <w:rPr>
          <w:rFonts w:cs="Times New Roman"/>
          <w:color w:val="000000"/>
        </w:rPr>
      </w:pPr>
      <w:r>
        <w:rPr>
          <w:rFonts w:cs="Times New Roman"/>
          <w:color w:val="000000"/>
          <w:sz w:val="20"/>
          <w:szCs w:val="20"/>
        </w:rPr>
        <w:t xml:space="preserve">Apart from the facts, I cannot subscribe to the broad new unprecedented law laid down in this case.   </w:t>
      </w:r>
      <w:hyperlink r:id="rId20" w:history="1">
        <w:r>
          <w:rPr>
            <w:rFonts w:cs="Times New Roman"/>
            <w:color w:val="0000FF"/>
            <w:sz w:val="20"/>
            <w:szCs w:val="20"/>
            <w:u w:val="single"/>
          </w:rPr>
          <w:t>Frampton v. Central Indiana Gas Co., 297 N.E.2d 425 (Ind. 1973)</w:t>
        </w:r>
      </w:hyperlink>
      <w:r>
        <w:rPr>
          <w:rFonts w:cs="Times New Roman"/>
          <w:color w:val="000000"/>
          <w:sz w:val="20"/>
          <w:szCs w:val="20"/>
        </w:rPr>
        <w:t>, cited for its support was a tort action to recover actual and punitive or exempl</w:t>
      </w:r>
      <w:r>
        <w:rPr>
          <w:rFonts w:cs="Times New Roman"/>
          <w:color w:val="000000"/>
          <w:sz w:val="20"/>
          <w:szCs w:val="20"/>
        </w:rPr>
        <w:t>a</w:t>
      </w:r>
      <w:r>
        <w:rPr>
          <w:rFonts w:cs="Times New Roman"/>
          <w:color w:val="000000"/>
          <w:sz w:val="20"/>
          <w:szCs w:val="20"/>
        </w:rPr>
        <w:t xml:space="preserve">ry damages for a discharge in retaliation for filing a workmen's compensation claim. The court treated the threat of discharge as a ‘device’ prohibited by the Workmen's </w:t>
      </w:r>
      <w:r>
        <w:rPr>
          <w:rFonts w:cs="Times New Roman"/>
          <w:b/>
          <w:bCs/>
          <w:color w:val="000000"/>
          <w:sz w:val="20"/>
          <w:szCs w:val="20"/>
        </w:rPr>
        <w:t>*136</w:t>
      </w:r>
      <w:r>
        <w:rPr>
          <w:rFonts w:cs="Times New Roman"/>
          <w:color w:val="000000"/>
          <w:sz w:val="20"/>
          <w:szCs w:val="20"/>
        </w:rPr>
        <w:t xml:space="preserve"> Compensation Act to avoid the e</w:t>
      </w:r>
      <w:r>
        <w:rPr>
          <w:rFonts w:cs="Times New Roman"/>
          <w:color w:val="000000"/>
          <w:sz w:val="20"/>
          <w:szCs w:val="20"/>
        </w:rPr>
        <w:t>m</w:t>
      </w:r>
      <w:r>
        <w:rPr>
          <w:rFonts w:cs="Times New Roman"/>
          <w:color w:val="000000"/>
          <w:sz w:val="20"/>
          <w:szCs w:val="20"/>
        </w:rPr>
        <w:t xml:space="preserve">ployer's statutory obligations.  The </w:t>
      </w:r>
      <w:smartTag w:uri="urn:schemas-microsoft-com:office:smarttags" w:element="State">
        <w:r>
          <w:rPr>
            <w:rFonts w:cs="Times New Roman"/>
            <w:color w:val="000000"/>
            <w:sz w:val="20"/>
            <w:szCs w:val="20"/>
          </w:rPr>
          <w:t>Indiana</w:t>
        </w:r>
      </w:smartTag>
      <w:r>
        <w:rPr>
          <w:rFonts w:cs="Times New Roman"/>
          <w:color w:val="000000"/>
          <w:sz w:val="20"/>
          <w:szCs w:val="20"/>
        </w:rPr>
        <w:t xml:space="preserve"> court sta</w:t>
      </w:r>
      <w:r>
        <w:rPr>
          <w:rFonts w:cs="Times New Roman"/>
          <w:color w:val="000000"/>
          <w:sz w:val="20"/>
          <w:szCs w:val="20"/>
        </w:rPr>
        <w:t>t</w:t>
      </w:r>
      <w:r>
        <w:rPr>
          <w:rFonts w:cs="Times New Roman"/>
          <w:color w:val="000000"/>
          <w:sz w:val="20"/>
          <w:szCs w:val="20"/>
        </w:rPr>
        <w:t>ed that it could find no case anywhere to support such an action but held the discharge to be an inte</w:t>
      </w:r>
      <w:r>
        <w:rPr>
          <w:rFonts w:cs="Times New Roman"/>
          <w:color w:val="000000"/>
          <w:sz w:val="20"/>
          <w:szCs w:val="20"/>
        </w:rPr>
        <w:t>n</w:t>
      </w:r>
      <w:r>
        <w:rPr>
          <w:rFonts w:cs="Times New Roman"/>
          <w:color w:val="000000"/>
          <w:sz w:val="20"/>
          <w:szCs w:val="20"/>
        </w:rPr>
        <w:t>tional wrong prohibited by statute and in clear contrave</w:t>
      </w:r>
      <w:r>
        <w:rPr>
          <w:rFonts w:cs="Times New Roman"/>
          <w:color w:val="000000"/>
          <w:sz w:val="20"/>
          <w:szCs w:val="20"/>
        </w:rPr>
        <w:t>n</w:t>
      </w:r>
      <w:r>
        <w:rPr>
          <w:rFonts w:cs="Times New Roman"/>
          <w:color w:val="000000"/>
          <w:sz w:val="20"/>
          <w:szCs w:val="20"/>
        </w:rPr>
        <w:t xml:space="preserve">tion of the public policy.  That case, however, is not authority for the court's new contract law.   </w:t>
      </w:r>
      <w:hyperlink r:id="rId21" w:history="1">
        <w:r>
          <w:rPr>
            <w:rFonts w:cs="Times New Roman"/>
            <w:color w:val="0000FF"/>
            <w:sz w:val="20"/>
            <w:szCs w:val="20"/>
            <w:u w:val="single"/>
          </w:rPr>
          <w:t>Pete</w:t>
        </w:r>
        <w:r>
          <w:rPr>
            <w:rFonts w:cs="Times New Roman"/>
            <w:color w:val="0000FF"/>
            <w:sz w:val="20"/>
            <w:szCs w:val="20"/>
            <w:u w:val="single"/>
          </w:rPr>
          <w:t>r</w:t>
        </w:r>
        <w:r>
          <w:rPr>
            <w:rFonts w:cs="Times New Roman"/>
            <w:color w:val="0000FF"/>
            <w:sz w:val="20"/>
            <w:szCs w:val="20"/>
            <w:u w:val="single"/>
          </w:rPr>
          <w:t>mann v. Teamsters Local 396, 174 Cal.App.2d 184, 344 P.2d 25. (1959)</w:t>
        </w:r>
      </w:hyperlink>
      <w:r>
        <w:rPr>
          <w:rFonts w:cs="Times New Roman"/>
          <w:color w:val="000000"/>
          <w:sz w:val="20"/>
          <w:szCs w:val="20"/>
        </w:rPr>
        <w:t xml:space="preserve"> is also inapposite. There, the court allowed recovery only in order to uphold a pu</w:t>
      </w:r>
      <w:r>
        <w:rPr>
          <w:rFonts w:cs="Times New Roman"/>
          <w:color w:val="000000"/>
          <w:sz w:val="20"/>
          <w:szCs w:val="20"/>
        </w:rPr>
        <w:t>b</w:t>
      </w:r>
      <w:r>
        <w:rPr>
          <w:rFonts w:cs="Times New Roman"/>
          <w:color w:val="000000"/>
          <w:sz w:val="20"/>
          <w:szCs w:val="20"/>
        </w:rPr>
        <w:t>lic policy against perjury. The protection given by the union contract governing the right to discharge and the grievance procedures therein established r</w:t>
      </w:r>
      <w:r>
        <w:rPr>
          <w:rFonts w:cs="Times New Roman"/>
          <w:color w:val="000000"/>
          <w:sz w:val="20"/>
          <w:szCs w:val="20"/>
        </w:rPr>
        <w:t>e</w:t>
      </w:r>
      <w:r>
        <w:rPr>
          <w:rFonts w:cs="Times New Roman"/>
          <w:color w:val="000000"/>
          <w:sz w:val="20"/>
          <w:szCs w:val="20"/>
        </w:rPr>
        <w:t>move this plaintiff from that class of employee for which co</w:t>
      </w:r>
      <w:r>
        <w:rPr>
          <w:rFonts w:cs="Times New Roman"/>
          <w:color w:val="000000"/>
          <w:sz w:val="20"/>
          <w:szCs w:val="20"/>
        </w:rPr>
        <w:t>n</w:t>
      </w:r>
      <w:r>
        <w:rPr>
          <w:rFonts w:cs="Times New Roman"/>
          <w:color w:val="000000"/>
          <w:sz w:val="20"/>
          <w:szCs w:val="20"/>
        </w:rPr>
        <w:t>cern is expressed in the law review articles cited by the court. Not a single case has been found which supports the broad rule laid down by the court to support an action for breach of contract in this case. In fact, the law everywhere, uniformly su</w:t>
      </w:r>
      <w:r>
        <w:rPr>
          <w:rFonts w:cs="Times New Roman"/>
          <w:color w:val="000000"/>
          <w:sz w:val="20"/>
          <w:szCs w:val="20"/>
        </w:rPr>
        <w:t>p</w:t>
      </w:r>
      <w:r>
        <w:rPr>
          <w:rFonts w:cs="Times New Roman"/>
          <w:color w:val="000000"/>
          <w:sz w:val="20"/>
          <w:szCs w:val="20"/>
        </w:rPr>
        <w:t>ported by scores of cases is that an employment co</w:t>
      </w:r>
      <w:r>
        <w:rPr>
          <w:rFonts w:cs="Times New Roman"/>
          <w:color w:val="000000"/>
          <w:sz w:val="20"/>
          <w:szCs w:val="20"/>
        </w:rPr>
        <w:t>n</w:t>
      </w:r>
      <w:r>
        <w:rPr>
          <w:rFonts w:cs="Times New Roman"/>
          <w:color w:val="000000"/>
          <w:sz w:val="20"/>
          <w:szCs w:val="20"/>
        </w:rPr>
        <w:t>tract for an indefinite period is one ‘at will and is terminable at any time by either party’ regardless of motive for ‘good cause, bad cause or no cause’ and for ‘any re</w:t>
      </w:r>
      <w:r>
        <w:rPr>
          <w:rFonts w:cs="Times New Roman"/>
          <w:color w:val="000000"/>
          <w:sz w:val="20"/>
          <w:szCs w:val="20"/>
        </w:rPr>
        <w:t>a</w:t>
      </w:r>
      <w:r>
        <w:rPr>
          <w:rFonts w:cs="Times New Roman"/>
          <w:color w:val="000000"/>
          <w:sz w:val="20"/>
          <w:szCs w:val="20"/>
        </w:rPr>
        <w:t xml:space="preserve">son or no reason’.   </w:t>
      </w:r>
      <w:hyperlink r:id="rId22" w:history="1">
        <w:r>
          <w:rPr>
            <w:rFonts w:cs="Times New Roman"/>
            <w:color w:val="0000FF"/>
            <w:sz w:val="20"/>
            <w:szCs w:val="20"/>
            <w:u w:val="single"/>
          </w:rPr>
          <w:t>Harp v. Administr</w:t>
        </w:r>
        <w:r>
          <w:rPr>
            <w:rFonts w:cs="Times New Roman"/>
            <w:color w:val="0000FF"/>
            <w:sz w:val="20"/>
            <w:szCs w:val="20"/>
            <w:u w:val="single"/>
          </w:rPr>
          <w:t>a</w:t>
        </w:r>
        <w:r>
          <w:rPr>
            <w:rFonts w:cs="Times New Roman"/>
            <w:color w:val="0000FF"/>
            <w:sz w:val="20"/>
            <w:szCs w:val="20"/>
            <w:u w:val="single"/>
          </w:rPr>
          <w:t>tor, Bureau of Unemploy. Comp., 12 Ohio Misc. 34, 230 N.E.2d 376 (1967)</w:t>
        </w:r>
      </w:hyperlink>
      <w:r>
        <w:rPr>
          <w:rFonts w:cs="Times New Roman"/>
          <w:color w:val="000000"/>
          <w:sz w:val="20"/>
          <w:szCs w:val="20"/>
        </w:rPr>
        <w:t xml:space="preserve">; </w:t>
      </w:r>
      <w:hyperlink r:id="rId23" w:history="1">
        <w:r>
          <w:rPr>
            <w:rFonts w:cs="Times New Roman"/>
            <w:color w:val="0000FF"/>
            <w:sz w:val="20"/>
            <w:szCs w:val="20"/>
            <w:u w:val="single"/>
          </w:rPr>
          <w:t>Portable Electric Tools, Inc. v. NLRB, 309 F.2d 423 (7th Cir. 1962)</w:t>
        </w:r>
      </w:hyperlink>
      <w:r>
        <w:rPr>
          <w:rFonts w:cs="Times New Roman"/>
          <w:color w:val="000000"/>
          <w:sz w:val="20"/>
          <w:szCs w:val="20"/>
        </w:rPr>
        <w:t xml:space="preserve">; </w:t>
      </w:r>
      <w:hyperlink r:id="rId24" w:history="1">
        <w:r>
          <w:rPr>
            <w:rFonts w:cs="Times New Roman"/>
            <w:color w:val="0000FF"/>
            <w:sz w:val="20"/>
            <w:szCs w:val="20"/>
            <w:u w:val="single"/>
          </w:rPr>
          <w:t>Reale v. I</w:t>
        </w:r>
        <w:r>
          <w:rPr>
            <w:rFonts w:cs="Times New Roman"/>
            <w:color w:val="0000FF"/>
            <w:sz w:val="20"/>
            <w:szCs w:val="20"/>
            <w:u w:val="single"/>
          </w:rPr>
          <w:t>n</w:t>
        </w:r>
        <w:r>
          <w:rPr>
            <w:rFonts w:cs="Times New Roman"/>
            <w:color w:val="0000FF"/>
            <w:sz w:val="20"/>
            <w:szCs w:val="20"/>
            <w:u w:val="single"/>
          </w:rPr>
          <w:t>ternational Bus. Mach. Corp., 34 A.D.2d 936, 311 N.Y.S.2d 767 (1970)</w:t>
        </w:r>
      </w:hyperlink>
      <w:r>
        <w:rPr>
          <w:rFonts w:cs="Times New Roman"/>
          <w:color w:val="000000"/>
          <w:sz w:val="20"/>
          <w:szCs w:val="20"/>
        </w:rPr>
        <w:t xml:space="preserve">; </w:t>
      </w:r>
      <w:hyperlink r:id="rId25" w:history="1">
        <w:r>
          <w:rPr>
            <w:rFonts w:cs="Times New Roman"/>
            <w:color w:val="0000FF"/>
            <w:sz w:val="20"/>
            <w:szCs w:val="20"/>
            <w:u w:val="single"/>
          </w:rPr>
          <w:t>Mallard v. Boring, 182 Cal.App.2d 390, 6 Cal.Rptr. 171 (1960)</w:t>
        </w:r>
      </w:hyperlink>
      <w:r>
        <w:rPr>
          <w:rFonts w:cs="Times New Roman"/>
          <w:color w:val="000000"/>
          <w:sz w:val="20"/>
          <w:szCs w:val="20"/>
        </w:rPr>
        <w:t xml:space="preserve">; </w:t>
      </w:r>
      <w:hyperlink r:id="rId26" w:history="1">
        <w:r>
          <w:rPr>
            <w:rFonts w:cs="Times New Roman"/>
            <w:color w:val="0000FF"/>
            <w:sz w:val="20"/>
            <w:szCs w:val="20"/>
            <w:u w:val="single"/>
          </w:rPr>
          <w:t>Swaffield v. Universal Ecsco Corp., 271 Cal.App.2d 147, 76 Cal.Rptr. 680 (1969)</w:t>
        </w:r>
      </w:hyperlink>
      <w:r>
        <w:rPr>
          <w:rFonts w:cs="Times New Roman"/>
          <w:color w:val="000000"/>
          <w:sz w:val="20"/>
          <w:szCs w:val="20"/>
        </w:rPr>
        <w:t>.</w:t>
      </w:r>
    </w:p>
    <w:p w:rsidR="00A34A45" w:rsidRDefault="00A34A45">
      <w:pPr>
        <w:widowControl w:val="0"/>
        <w:autoSpaceDE w:val="0"/>
        <w:autoSpaceDN w:val="0"/>
        <w:adjustRightInd w:val="0"/>
        <w:rPr>
          <w:rFonts w:cs="Times New Roman"/>
          <w:color w:val="000000"/>
        </w:rPr>
      </w:pPr>
    </w:p>
    <w:p w:rsidR="00A34A45" w:rsidRDefault="00A34A45">
      <w:pPr>
        <w:widowControl w:val="0"/>
        <w:autoSpaceDE w:val="0"/>
        <w:autoSpaceDN w:val="0"/>
        <w:adjustRightInd w:val="0"/>
        <w:rPr>
          <w:rFonts w:cs="Times New Roman"/>
          <w:color w:val="000000"/>
        </w:rPr>
      </w:pPr>
      <w:bookmarkStart w:id="11" w:name="last-page"/>
      <w:bookmarkEnd w:id="11"/>
    </w:p>
    <w:p w:rsidR="00A34A45" w:rsidRDefault="00A34A45">
      <w:pPr>
        <w:widowControl w:val="0"/>
        <w:autoSpaceDE w:val="0"/>
        <w:autoSpaceDN w:val="0"/>
        <w:adjustRightInd w:val="0"/>
      </w:pPr>
    </w:p>
    <w:sectPr w:rsidR="00A34A45">
      <w:headerReference w:type="default" r:id="rId27"/>
      <w:footerReference w:type="default" r:id="rId28"/>
      <w:type w:val="continuous"/>
      <w:pgSz w:w="12240" w:h="15840"/>
      <w:pgMar w:top="2016" w:right="1440" w:bottom="1800" w:left="1440" w:header="720" w:footer="720" w:gutter="0"/>
      <w:cols w:num="2"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62624" w:rsidRDefault="00662624">
      <w:r>
        <w:separator/>
      </w:r>
    </w:p>
  </w:endnote>
  <w:endnote w:type="continuationSeparator" w:id="0">
    <w:p w:rsidR="00662624" w:rsidRDefault="006626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4A45" w:rsidRDefault="00A34A45">
    <w:pPr>
      <w:widowControl w:val="0"/>
      <w:autoSpaceDE w:val="0"/>
      <w:autoSpaceDN w:val="0"/>
      <w:adjustRightInd w:val="0"/>
      <w:jc w:val="center"/>
      <w:rPr>
        <w:rFonts w:ascii="Arial" w:hAnsi="Arial" w:cs="Arial"/>
        <w:color w:val="000000"/>
      </w:rPr>
    </w:pPr>
    <w:r>
      <w:rPr>
        <w:rFonts w:cs="Times New Roman"/>
        <w:color w:val="000000"/>
        <w:sz w:val="20"/>
        <w:szCs w:val="20"/>
      </w:rPr>
      <w:t>© 2011 Thomson Reuters. No Claim to Orig. US Gov. Works.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62624" w:rsidRDefault="00662624">
      <w:r>
        <w:separator/>
      </w:r>
    </w:p>
  </w:footnote>
  <w:footnote w:type="continuationSeparator" w:id="0">
    <w:p w:rsidR="00662624" w:rsidRDefault="0066262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CellMar>
        <w:left w:w="0" w:type="dxa"/>
        <w:right w:w="0" w:type="dxa"/>
      </w:tblCellMar>
      <w:tblLook w:val="0000" w:firstRow="0" w:lastRow="0" w:firstColumn="0" w:lastColumn="0" w:noHBand="0" w:noVBand="0"/>
    </w:tblPr>
    <w:tblGrid>
      <w:gridCol w:w="2880"/>
      <w:gridCol w:w="3600"/>
      <w:gridCol w:w="2880"/>
    </w:tblGrid>
    <w:tr w:rsidR="00A34A45">
      <w:tblPrEx>
        <w:tblCellMar>
          <w:top w:w="0" w:type="dxa"/>
          <w:left w:w="0" w:type="dxa"/>
          <w:bottom w:w="0" w:type="dxa"/>
          <w:right w:w="0" w:type="dxa"/>
        </w:tblCellMar>
      </w:tblPrEx>
      <w:tc>
        <w:tcPr>
          <w:tcW w:w="2880" w:type="dxa"/>
          <w:tcBorders>
            <w:top w:val="nil"/>
            <w:left w:val="nil"/>
            <w:bottom w:val="nil"/>
            <w:right w:val="nil"/>
          </w:tcBorders>
          <w:tcMar>
            <w:top w:w="0" w:type="dxa"/>
            <w:left w:w="0" w:type="dxa"/>
            <w:bottom w:w="0" w:type="dxa"/>
            <w:right w:w="0" w:type="dxa"/>
          </w:tcMar>
        </w:tcPr>
        <w:p w:rsidR="00A34A45" w:rsidRDefault="00A34A45">
          <w:pPr>
            <w:widowControl w:val="0"/>
            <w:autoSpaceDE w:val="0"/>
            <w:autoSpaceDN w:val="0"/>
            <w:adjustRightInd w:val="0"/>
            <w:rPr>
              <w:rFonts w:ascii="Arial" w:hAnsi="Arial" w:cs="Arial"/>
              <w:color w:val="000000"/>
            </w:rPr>
          </w:pPr>
          <w:r>
            <w:rPr>
              <w:rFonts w:cs="Times New Roman"/>
              <w:color w:val="000000"/>
              <w:sz w:val="20"/>
              <w:szCs w:val="20"/>
            </w:rPr>
            <w:t>316 A.2d 549</w:t>
          </w:r>
        </w:p>
      </w:tc>
      <w:tc>
        <w:tcPr>
          <w:tcW w:w="3600" w:type="dxa"/>
          <w:tcBorders>
            <w:top w:val="nil"/>
            <w:left w:val="nil"/>
            <w:bottom w:val="nil"/>
            <w:right w:val="nil"/>
          </w:tcBorders>
          <w:tcMar>
            <w:top w:w="0" w:type="dxa"/>
            <w:left w:w="0" w:type="dxa"/>
            <w:bottom w:w="0" w:type="dxa"/>
            <w:right w:w="0" w:type="dxa"/>
          </w:tcMar>
        </w:tcPr>
        <w:p w:rsidR="00A34A45" w:rsidRDefault="00A34A45">
          <w:pPr>
            <w:widowControl w:val="0"/>
            <w:autoSpaceDE w:val="0"/>
            <w:autoSpaceDN w:val="0"/>
            <w:adjustRightInd w:val="0"/>
            <w:jc w:val="center"/>
            <w:rPr>
              <w:rFonts w:ascii="Arial" w:hAnsi="Arial" w:cs="Arial"/>
              <w:color w:val="000000"/>
            </w:rPr>
          </w:pPr>
          <w:r>
            <w:rPr>
              <w:rFonts w:cs="Times New Roman"/>
              <w:color w:val="000000"/>
              <w:sz w:val="20"/>
              <w:szCs w:val="20"/>
            </w:rPr>
            <w:t>FOR EDUCATIONAL USE ONLY</w:t>
          </w:r>
        </w:p>
      </w:tc>
      <w:tc>
        <w:tcPr>
          <w:tcW w:w="2880" w:type="dxa"/>
          <w:tcBorders>
            <w:top w:val="nil"/>
            <w:left w:val="nil"/>
            <w:bottom w:val="nil"/>
            <w:right w:val="nil"/>
          </w:tcBorders>
          <w:tcMar>
            <w:top w:w="0" w:type="dxa"/>
            <w:left w:w="0" w:type="dxa"/>
            <w:bottom w:w="0" w:type="dxa"/>
            <w:right w:w="0" w:type="dxa"/>
          </w:tcMar>
        </w:tcPr>
        <w:p w:rsidR="00A34A45" w:rsidRDefault="00A34A45">
          <w:pPr>
            <w:widowControl w:val="0"/>
            <w:autoSpaceDE w:val="0"/>
            <w:autoSpaceDN w:val="0"/>
            <w:adjustRightInd w:val="0"/>
            <w:jc w:val="right"/>
            <w:rPr>
              <w:rFonts w:ascii="Arial" w:hAnsi="Arial" w:cs="Arial"/>
              <w:color w:val="000000"/>
            </w:rPr>
          </w:pPr>
          <w:r>
            <w:rPr>
              <w:rFonts w:cs="Times New Roman"/>
              <w:color w:val="000000"/>
              <w:sz w:val="20"/>
              <w:szCs w:val="20"/>
            </w:rPr>
            <w:t xml:space="preserve">Page </w:t>
          </w:r>
          <w:r>
            <w:rPr>
              <w:rFonts w:cs="Times New Roman"/>
              <w:color w:val="000000"/>
              <w:sz w:val="20"/>
              <w:szCs w:val="20"/>
            </w:rPr>
            <w:pgNum/>
          </w:r>
        </w:p>
      </w:tc>
    </w:tr>
    <w:tr w:rsidR="00A34A45">
      <w:tblPrEx>
        <w:tblCellMar>
          <w:top w:w="0" w:type="dxa"/>
          <w:left w:w="0" w:type="dxa"/>
          <w:bottom w:w="0" w:type="dxa"/>
          <w:right w:w="0" w:type="dxa"/>
        </w:tblCellMar>
      </w:tblPrEx>
      <w:tc>
        <w:tcPr>
          <w:tcW w:w="9360" w:type="dxa"/>
          <w:gridSpan w:val="3"/>
          <w:tcBorders>
            <w:top w:val="nil"/>
            <w:left w:val="nil"/>
            <w:bottom w:val="nil"/>
            <w:right w:val="nil"/>
          </w:tcBorders>
          <w:tcMar>
            <w:top w:w="0" w:type="dxa"/>
            <w:left w:w="0" w:type="dxa"/>
            <w:bottom w:w="0" w:type="dxa"/>
            <w:right w:w="0" w:type="dxa"/>
          </w:tcMar>
        </w:tcPr>
        <w:p w:rsidR="00A34A45" w:rsidRDefault="00A34A45">
          <w:pPr>
            <w:widowControl w:val="0"/>
            <w:autoSpaceDE w:val="0"/>
            <w:autoSpaceDN w:val="0"/>
            <w:adjustRightInd w:val="0"/>
            <w:rPr>
              <w:rFonts w:ascii="Arial" w:hAnsi="Arial" w:cs="Arial"/>
              <w:color w:val="000000"/>
            </w:rPr>
          </w:pPr>
          <w:r>
            <w:rPr>
              <w:rFonts w:cs="Times New Roman"/>
              <w:color w:val="000000"/>
              <w:sz w:val="20"/>
              <w:szCs w:val="20"/>
            </w:rPr>
            <w:t>114 N.H. 130, 316 A.2d 549, 115 L.R.R.M. (BNA) 4755, 62 A.L.R.3d 264, 25 Empl. Prac. Dec. P 31,643</w:t>
          </w:r>
        </w:p>
      </w:tc>
    </w:tr>
    <w:tr w:rsidR="00A34A45">
      <w:tblPrEx>
        <w:tblCellMar>
          <w:top w:w="0" w:type="dxa"/>
          <w:left w:w="0" w:type="dxa"/>
          <w:bottom w:w="0" w:type="dxa"/>
          <w:right w:w="0" w:type="dxa"/>
        </w:tblCellMar>
      </w:tblPrEx>
      <w:tc>
        <w:tcPr>
          <w:tcW w:w="9360" w:type="dxa"/>
          <w:gridSpan w:val="3"/>
          <w:tcBorders>
            <w:top w:val="nil"/>
            <w:left w:val="nil"/>
            <w:bottom w:val="nil"/>
            <w:right w:val="nil"/>
          </w:tcBorders>
          <w:tcMar>
            <w:top w:w="0" w:type="dxa"/>
            <w:left w:w="0" w:type="dxa"/>
            <w:bottom w:w="0" w:type="dxa"/>
            <w:right w:w="0" w:type="dxa"/>
          </w:tcMar>
        </w:tcPr>
        <w:p w:rsidR="00A34A45" w:rsidRDefault="00A34A45">
          <w:pPr>
            <w:widowControl w:val="0"/>
            <w:autoSpaceDE w:val="0"/>
            <w:autoSpaceDN w:val="0"/>
            <w:adjustRightInd w:val="0"/>
            <w:rPr>
              <w:rFonts w:ascii="Arial" w:hAnsi="Arial" w:cs="Arial"/>
              <w:color w:val="000000"/>
            </w:rPr>
          </w:pPr>
          <w:r>
            <w:rPr>
              <w:rFonts w:cs="Times New Roman"/>
              <w:b/>
              <w:bCs/>
              <w:color w:val="000000"/>
              <w:sz w:val="20"/>
              <w:szCs w:val="20"/>
            </w:rPr>
            <w:t>(Cite as: 114 N.H. 130, 316 A.2d 549)</w:t>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autoHyphenation/>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26E0D"/>
    <w:rsid w:val="00151CD5"/>
    <w:rsid w:val="00526E0D"/>
    <w:rsid w:val="00662624"/>
    <w:rsid w:val="00944301"/>
    <w:rsid w:val="00A34A45"/>
    <w:rsid w:val="00AF47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State"/>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sa-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Mangal"/>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estlaw.com/Find/Default.wl?rs=dfa1.0&amp;vr=2.0&amp;DB=162&amp;FindType=Y&amp;ReferencePositionType=S&amp;SerialNum=1971100766&amp;ReferencePosition=250" TargetMode="External"/><Relationship Id="rId13" Type="http://schemas.openxmlformats.org/officeDocument/2006/relationships/hyperlink" Target="http://www.westlaw.com/Find/Default.wl?rs=dfa1.0&amp;vr=2.0&amp;DB=162&amp;FindType=Y&amp;ReferencePositionType=S&amp;SerialNum=1959105611&amp;ReferencePosition=113" TargetMode="External"/><Relationship Id="rId18" Type="http://schemas.openxmlformats.org/officeDocument/2006/relationships/hyperlink" Target="http://www.westlaw.com/Find/Default.wl?rs=dfa1.0&amp;vr=2.0&amp;DB=162&amp;FindType=Y&amp;SerialNum=1951111232" TargetMode="External"/><Relationship Id="rId26" Type="http://schemas.openxmlformats.org/officeDocument/2006/relationships/hyperlink" Target="http://www.westlaw.com/Find/Default.wl?rs=dfa1.0&amp;vr=2.0&amp;DB=227&amp;FindType=Y&amp;SerialNum=1969111984" TargetMode="External"/><Relationship Id="rId3" Type="http://schemas.openxmlformats.org/officeDocument/2006/relationships/settings" Target="settings.xml"/><Relationship Id="rId21" Type="http://schemas.openxmlformats.org/officeDocument/2006/relationships/hyperlink" Target="http://www.westlaw.com/Find/Default.wl?rs=dfa1.0&amp;vr=2.0&amp;DB=661&amp;FindType=Y&amp;SerialNum=1959123043" TargetMode="External"/><Relationship Id="rId7" Type="http://schemas.openxmlformats.org/officeDocument/2006/relationships/hyperlink" Target="http://www.westlaw.com/Find/Default.wl?rs=dfa1.0&amp;vr=2.0&amp;DB=0101579&amp;FindType=Y&amp;SerialNum=0288873407" TargetMode="External"/><Relationship Id="rId12" Type="http://schemas.openxmlformats.org/officeDocument/2006/relationships/hyperlink" Target="http://www.westlaw.com/Find/Default.wl?rs=dfa1.0&amp;vr=2.0&amp;DB=661&amp;FindType=Y&amp;ReferencePositionType=S&amp;SerialNum=1959123043&amp;ReferencePosition=27" TargetMode="External"/><Relationship Id="rId17" Type="http://schemas.openxmlformats.org/officeDocument/2006/relationships/hyperlink" Target="http://www.westlaw.com/Find/Default.wl?rs=dfa1.0&amp;vr=2.0&amp;DB=162&amp;FindType=Y&amp;SerialNum=1970109478" TargetMode="External"/><Relationship Id="rId25" Type="http://schemas.openxmlformats.org/officeDocument/2006/relationships/hyperlink" Target="http://www.westlaw.com/Find/Default.wl?rs=dfa1.0&amp;vr=2.0&amp;DB=227&amp;FindType=Y&amp;SerialNum=1960108468" TargetMode="External"/><Relationship Id="rId2" Type="http://schemas.openxmlformats.org/officeDocument/2006/relationships/styles" Target="styles.xml"/><Relationship Id="rId16" Type="http://schemas.openxmlformats.org/officeDocument/2006/relationships/hyperlink" Target="http://www.westlaw.com/Find/Default.wl?rs=dfa1.0&amp;vr=2.0&amp;DB=661&amp;FindType=Y&amp;ReferencePositionType=S&amp;SerialNum=1971125220&amp;ReferencePosition=86" TargetMode="External"/><Relationship Id="rId20" Type="http://schemas.openxmlformats.org/officeDocument/2006/relationships/hyperlink" Target="http://www.westlaw.com/Find/Default.wl?rs=dfa1.0&amp;vr=2.0&amp;DB=578&amp;FindType=Y&amp;SerialNum=1973114233"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westlaw.com/Find/Default.wl?rs=dfa1.0&amp;vr=2.0&amp;DB=578&amp;FindType=Y&amp;SerialNum=1973114233" TargetMode="External"/><Relationship Id="rId24" Type="http://schemas.openxmlformats.org/officeDocument/2006/relationships/hyperlink" Target="http://www.westlaw.com/Find/Default.wl?rs=dfa1.0&amp;vr=2.0&amp;DB=602&amp;FindType=Y&amp;SerialNum=1970128092" TargetMode="External"/><Relationship Id="rId5" Type="http://schemas.openxmlformats.org/officeDocument/2006/relationships/footnotes" Target="footnotes.xml"/><Relationship Id="rId15" Type="http://schemas.openxmlformats.org/officeDocument/2006/relationships/hyperlink" Target="http://www.westlaw.com/Find/Default.wl?rs=dfa1.0&amp;vr=2.0&amp;DB=161&amp;FindType=Y&amp;SerialNum=1918022248" TargetMode="External"/><Relationship Id="rId23" Type="http://schemas.openxmlformats.org/officeDocument/2006/relationships/hyperlink" Target="http://www.westlaw.com/Find/Default.wl?rs=dfa1.0&amp;vr=2.0&amp;DB=350&amp;FindType=Y&amp;SerialNum=1962116054" TargetMode="External"/><Relationship Id="rId28" Type="http://schemas.openxmlformats.org/officeDocument/2006/relationships/footer" Target="footer1.xml"/><Relationship Id="rId10" Type="http://schemas.openxmlformats.org/officeDocument/2006/relationships/hyperlink" Target="http://www.westlaw.com/Find/Default.wl?rs=dfa1.0&amp;vr=2.0&amp;DB=1239&amp;FindType=Y&amp;SerialNum=0306328747" TargetMode="External"/><Relationship Id="rId19" Type="http://schemas.openxmlformats.org/officeDocument/2006/relationships/hyperlink" Target="http://www.westlaw.com/Find/Default.wl?rs=dfa1.0&amp;vr=2.0&amp;DB=162&amp;FindType=Y&amp;SerialNum=1944110559" TargetMode="External"/><Relationship Id="rId4" Type="http://schemas.openxmlformats.org/officeDocument/2006/relationships/webSettings" Target="webSettings.xml"/><Relationship Id="rId9" Type="http://schemas.openxmlformats.org/officeDocument/2006/relationships/hyperlink" Target="http://www.westlaw.com/Find/Default.wl?rs=dfa1.0&amp;vr=2.0&amp;DB=162&amp;FindType=Y&amp;SerialNum=1973101913" TargetMode="External"/><Relationship Id="rId14" Type="http://schemas.openxmlformats.org/officeDocument/2006/relationships/hyperlink" Target="http://www.westlaw.com/Find/Default.wl?rs=dfa1.0&amp;vr=2.0&amp;DB=162&amp;FindType=Y&amp;SerialNum=1948111678" TargetMode="External"/><Relationship Id="rId22" Type="http://schemas.openxmlformats.org/officeDocument/2006/relationships/hyperlink" Target="http://www.westlaw.com/Find/Default.wl?rs=dfa1.0&amp;vr=2.0&amp;DB=578&amp;FindType=Y&amp;SerialNum=1967120856" TargetMode="External"/><Relationship Id="rId27" Type="http://schemas.openxmlformats.org/officeDocument/2006/relationships/header" Target="header1.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2481</Words>
  <Characters>14145</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Supreme Court of New Hampshire</vt:lpstr>
    </vt:vector>
  </TitlesOfParts>
  <Company/>
  <LinksUpToDate>false</LinksUpToDate>
  <CharactersWithSpaces>16593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Supreme Court of New Hampshire</dc:title>
  <dc:creator>10.12.2.2.V2</dc:creator>
  <cp:lastModifiedBy>sbrewer</cp:lastModifiedBy>
  <cp:revision>2</cp:revision>
  <dcterms:created xsi:type="dcterms:W3CDTF">2011-11-12T15:38:00Z</dcterms:created>
  <dcterms:modified xsi:type="dcterms:W3CDTF">2011-11-12T15:38:00Z</dcterms:modified>
</cp:coreProperties>
</file>